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CB606" w14:textId="77777777" w:rsidR="0096734B" w:rsidRDefault="0096734B" w:rsidP="0096734B">
      <w:pPr>
        <w:spacing w:line="480" w:lineRule="auto"/>
        <w:jc w:val="center"/>
        <w:rPr>
          <w:rFonts w:ascii="Calibri" w:eastAsia="Calibri" w:hAnsi="Calibri" w:cs="Calibri"/>
          <w:b/>
        </w:rPr>
      </w:pPr>
      <w:r>
        <w:rPr>
          <w:rFonts w:ascii="Calibri" w:eastAsia="Calibri" w:hAnsi="Calibri" w:cs="Calibri"/>
          <w:b/>
        </w:rPr>
        <w:t>Glucocorticoid Prescribing Trends in Congenital Adrenal Hyperplasia, 2017 to 2023</w:t>
      </w:r>
    </w:p>
    <w:p w14:paraId="3F2FFE03" w14:textId="77777777" w:rsidR="0096734B" w:rsidRDefault="0096734B" w:rsidP="0096734B">
      <w:pPr>
        <w:spacing w:line="480" w:lineRule="auto"/>
        <w:jc w:val="center"/>
        <w:rPr>
          <w:rFonts w:ascii="Calibri" w:eastAsia="Calibri" w:hAnsi="Calibri" w:cs="Calibri"/>
          <w:b/>
        </w:rPr>
      </w:pPr>
      <w:r>
        <w:rPr>
          <w:rFonts w:ascii="Calibri" w:eastAsia="Calibri" w:hAnsi="Calibri" w:cs="Calibri"/>
          <w:b/>
        </w:rPr>
        <w:t>Glucocorticoid Use in CAH, 2017–2023</w:t>
      </w:r>
    </w:p>
    <w:p w14:paraId="27183966" w14:textId="77777777" w:rsidR="00F05212" w:rsidRDefault="00F05212" w:rsidP="00F05212">
      <w:pPr>
        <w:spacing w:before="240" w:after="240" w:line="360" w:lineRule="auto"/>
        <w:rPr>
          <w:rFonts w:ascii="Calibri" w:eastAsia="Calibri" w:hAnsi="Calibri" w:cs="Calibri"/>
          <w:vertAlign w:val="superscript"/>
        </w:rPr>
      </w:pPr>
      <w:r>
        <w:rPr>
          <w:rFonts w:ascii="Calibri" w:eastAsia="Calibri" w:hAnsi="Calibri" w:cs="Calibri"/>
        </w:rPr>
        <w:t>Roxas A</w:t>
      </w:r>
      <w:r>
        <w:rPr>
          <w:rFonts w:ascii="Calibri" w:eastAsia="Calibri" w:hAnsi="Calibri" w:cs="Calibri"/>
          <w:vertAlign w:val="superscript"/>
        </w:rPr>
        <w:t>1*</w:t>
      </w:r>
      <w:r>
        <w:rPr>
          <w:rFonts w:ascii="Calibri" w:eastAsia="Calibri" w:hAnsi="Calibri" w:cs="Calibri"/>
          <w:i/>
        </w:rPr>
        <w:t xml:space="preserve">, </w:t>
      </w:r>
      <w:proofErr w:type="spellStart"/>
      <w:r>
        <w:rPr>
          <w:rFonts w:ascii="Calibri" w:eastAsia="Calibri" w:hAnsi="Calibri" w:cs="Calibri"/>
        </w:rPr>
        <w:t>Gihawi</w:t>
      </w:r>
      <w:proofErr w:type="spellEnd"/>
      <w:r>
        <w:rPr>
          <w:rFonts w:ascii="Calibri" w:eastAsia="Calibri" w:hAnsi="Calibri" w:cs="Calibri"/>
        </w:rPr>
        <w:t xml:space="preserve"> A</w:t>
      </w:r>
      <w:r>
        <w:rPr>
          <w:rFonts w:ascii="Calibri" w:eastAsia="Calibri" w:hAnsi="Calibri" w:cs="Calibri"/>
          <w:vertAlign w:val="superscript"/>
        </w:rPr>
        <w:t>1, 58*</w:t>
      </w:r>
      <w:r>
        <w:rPr>
          <w:rFonts w:ascii="Calibri" w:eastAsia="Calibri" w:hAnsi="Calibri" w:cs="Calibri"/>
        </w:rPr>
        <w:t>, Makarchuk M</w:t>
      </w:r>
      <w:r>
        <w:rPr>
          <w:rFonts w:ascii="Calibri" w:eastAsia="Calibri" w:hAnsi="Calibri" w:cs="Calibri"/>
          <w:vertAlign w:val="superscript"/>
        </w:rPr>
        <w:t>1</w:t>
      </w:r>
      <w:r>
        <w:rPr>
          <w:rFonts w:ascii="Calibri" w:eastAsia="Calibri" w:hAnsi="Calibri" w:cs="Calibri"/>
        </w:rPr>
        <w:t>, Bryce J</w:t>
      </w:r>
      <w:r>
        <w:rPr>
          <w:rFonts w:ascii="Calibri" w:eastAsia="Calibri" w:hAnsi="Calibri" w:cs="Calibri"/>
          <w:vertAlign w:val="superscript"/>
        </w:rPr>
        <w:t>2</w:t>
      </w:r>
      <w:r>
        <w:rPr>
          <w:rFonts w:ascii="Calibri" w:eastAsia="Calibri" w:hAnsi="Calibri" w:cs="Calibri"/>
        </w:rPr>
        <w:t>, Chen M</w:t>
      </w:r>
      <w:r>
        <w:rPr>
          <w:rFonts w:ascii="Calibri" w:eastAsia="Calibri" w:hAnsi="Calibri" w:cs="Calibri"/>
          <w:vertAlign w:val="superscript"/>
        </w:rPr>
        <w:t>2</w:t>
      </w:r>
      <w:r>
        <w:rPr>
          <w:rFonts w:ascii="Calibri" w:eastAsia="Calibri" w:hAnsi="Calibri" w:cs="Calibri"/>
        </w:rPr>
        <w:t>, Ahmed S.F</w:t>
      </w:r>
      <w:r>
        <w:rPr>
          <w:rFonts w:ascii="Calibri" w:eastAsia="Calibri" w:hAnsi="Calibri" w:cs="Calibri"/>
          <w:vertAlign w:val="superscript"/>
        </w:rPr>
        <w:t>2,3</w:t>
      </w:r>
      <w:r>
        <w:rPr>
          <w:rFonts w:ascii="Calibri" w:eastAsia="Calibri" w:hAnsi="Calibri" w:cs="Calibri"/>
        </w:rPr>
        <w:t>, Ali S.R</w:t>
      </w:r>
      <w:r>
        <w:rPr>
          <w:rFonts w:ascii="Calibri" w:eastAsia="Calibri" w:hAnsi="Calibri" w:cs="Calibri"/>
          <w:vertAlign w:val="superscript"/>
        </w:rPr>
        <w:t>2,3</w:t>
      </w:r>
      <w:r>
        <w:rPr>
          <w:rFonts w:ascii="Calibri" w:eastAsia="Calibri" w:hAnsi="Calibri" w:cs="Calibri"/>
        </w:rPr>
        <w:t>, Drake A</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Casipe</w:t>
      </w:r>
      <w:proofErr w:type="spellEnd"/>
      <w:r>
        <w:rPr>
          <w:rFonts w:ascii="Calibri" w:eastAsia="Calibri" w:hAnsi="Calibri" w:cs="Calibri"/>
        </w:rPr>
        <w:t xml:space="preserve"> M</w:t>
      </w:r>
      <w:r>
        <w:rPr>
          <w:rFonts w:ascii="Calibri" w:eastAsia="Calibri" w:hAnsi="Calibri" w:cs="Calibri"/>
          <w:vertAlign w:val="superscript"/>
        </w:rPr>
        <w:t>4</w:t>
      </w:r>
      <w:r>
        <w:rPr>
          <w:rFonts w:ascii="Calibri" w:eastAsia="Calibri" w:hAnsi="Calibri" w:cs="Calibri"/>
        </w:rPr>
        <w:t>, Groves L</w:t>
      </w:r>
      <w:r>
        <w:rPr>
          <w:rFonts w:ascii="Calibri" w:eastAsia="Calibri" w:hAnsi="Calibri" w:cs="Calibri"/>
          <w:vertAlign w:val="superscript"/>
        </w:rPr>
        <w:t>1</w:t>
      </w:r>
      <w:r>
        <w:rPr>
          <w:rFonts w:ascii="Calibri" w:eastAsia="Calibri" w:hAnsi="Calibri" w:cs="Calibri"/>
        </w:rPr>
        <w:t xml:space="preserve">, </w:t>
      </w:r>
      <w:proofErr w:type="spellStart"/>
      <w:r>
        <w:rPr>
          <w:rFonts w:ascii="Calibri" w:eastAsia="Calibri" w:hAnsi="Calibri" w:cs="Calibri"/>
        </w:rPr>
        <w:t>Idkowiak</w:t>
      </w:r>
      <w:proofErr w:type="spellEnd"/>
      <w:r>
        <w:rPr>
          <w:rFonts w:ascii="Calibri" w:eastAsia="Calibri" w:hAnsi="Calibri" w:cs="Calibri"/>
        </w:rPr>
        <w:t xml:space="preserve"> J</w:t>
      </w:r>
      <w:r>
        <w:rPr>
          <w:rFonts w:ascii="Calibri" w:eastAsia="Calibri" w:hAnsi="Calibri" w:cs="Calibri"/>
          <w:vertAlign w:val="superscript"/>
        </w:rPr>
        <w:t>5</w:t>
      </w:r>
      <w:r>
        <w:rPr>
          <w:rFonts w:ascii="Calibri" w:eastAsia="Calibri" w:hAnsi="Calibri" w:cs="Calibri"/>
        </w:rPr>
        <w:t>, Krone R</w:t>
      </w:r>
      <w:r>
        <w:rPr>
          <w:rFonts w:ascii="Calibri" w:eastAsia="Calibri" w:hAnsi="Calibri" w:cs="Calibri"/>
          <w:vertAlign w:val="superscript"/>
        </w:rPr>
        <w:t>5</w:t>
      </w:r>
      <w:r>
        <w:rPr>
          <w:rFonts w:ascii="Calibri" w:eastAsia="Calibri" w:hAnsi="Calibri" w:cs="Calibri"/>
        </w:rPr>
        <w:t>, Flueck C</w:t>
      </w:r>
      <w:r>
        <w:rPr>
          <w:rFonts w:ascii="Calibri" w:eastAsia="Calibri" w:hAnsi="Calibri" w:cs="Calibri"/>
          <w:vertAlign w:val="superscript"/>
        </w:rPr>
        <w:t>6</w:t>
      </w:r>
      <w:r>
        <w:rPr>
          <w:rFonts w:ascii="Calibri" w:eastAsia="Calibri" w:hAnsi="Calibri" w:cs="Calibri"/>
        </w:rPr>
        <w:t xml:space="preserve">, </w:t>
      </w:r>
      <w:proofErr w:type="spellStart"/>
      <w:r>
        <w:rPr>
          <w:rFonts w:ascii="Calibri" w:eastAsia="Calibri" w:hAnsi="Calibri" w:cs="Calibri"/>
        </w:rPr>
        <w:t>Nordenström</w:t>
      </w:r>
      <w:proofErr w:type="spellEnd"/>
      <w:r>
        <w:rPr>
          <w:rFonts w:ascii="Calibri" w:eastAsia="Calibri" w:hAnsi="Calibri" w:cs="Calibri"/>
        </w:rPr>
        <w:t xml:space="preserve"> A</w:t>
      </w:r>
      <w:r>
        <w:rPr>
          <w:rFonts w:ascii="Calibri" w:eastAsia="Calibri" w:hAnsi="Calibri" w:cs="Calibri"/>
          <w:vertAlign w:val="superscript"/>
        </w:rPr>
        <w:t>7</w:t>
      </w:r>
      <w:r>
        <w:rPr>
          <w:rFonts w:ascii="Calibri" w:eastAsia="Calibri" w:hAnsi="Calibri" w:cs="Calibri"/>
        </w:rPr>
        <w:t>, Reisch N</w:t>
      </w:r>
      <w:r>
        <w:rPr>
          <w:rFonts w:ascii="Calibri" w:eastAsia="Calibri" w:hAnsi="Calibri" w:cs="Calibri"/>
          <w:vertAlign w:val="superscript"/>
        </w:rPr>
        <w:t>8</w:t>
      </w:r>
      <w:r>
        <w:rPr>
          <w:rFonts w:ascii="Calibri" w:eastAsia="Calibri" w:hAnsi="Calibri" w:cs="Calibri"/>
        </w:rPr>
        <w:t xml:space="preserve">, </w:t>
      </w:r>
      <w:proofErr w:type="spellStart"/>
      <w:r>
        <w:rPr>
          <w:rFonts w:ascii="Calibri" w:eastAsia="Calibri" w:hAnsi="Calibri" w:cs="Calibri"/>
        </w:rPr>
        <w:t>Claahsen</w:t>
      </w:r>
      <w:proofErr w:type="spellEnd"/>
      <w:r>
        <w:rPr>
          <w:rFonts w:ascii="Calibri" w:eastAsia="Calibri" w:hAnsi="Calibri" w:cs="Calibri"/>
        </w:rPr>
        <w:t xml:space="preserve"> – van der </w:t>
      </w:r>
      <w:proofErr w:type="spellStart"/>
      <w:r>
        <w:rPr>
          <w:rFonts w:ascii="Calibri" w:eastAsia="Calibri" w:hAnsi="Calibri" w:cs="Calibri"/>
        </w:rPr>
        <w:t>Grinten</w:t>
      </w:r>
      <w:proofErr w:type="spellEnd"/>
      <w:r>
        <w:rPr>
          <w:rFonts w:ascii="Calibri" w:eastAsia="Calibri" w:hAnsi="Calibri" w:cs="Calibri"/>
        </w:rPr>
        <w:t xml:space="preserve"> H.L.</w:t>
      </w:r>
      <w:r>
        <w:rPr>
          <w:rFonts w:ascii="Calibri" w:eastAsia="Calibri" w:hAnsi="Calibri" w:cs="Calibri"/>
          <w:vertAlign w:val="superscript"/>
        </w:rPr>
        <w:t>9</w:t>
      </w:r>
      <w:r>
        <w:rPr>
          <w:rFonts w:ascii="Calibri" w:eastAsia="Calibri" w:hAnsi="Calibri" w:cs="Calibri"/>
        </w:rPr>
        <w:t>, Adriaansen B.P.H</w:t>
      </w:r>
      <w:r>
        <w:rPr>
          <w:rFonts w:ascii="Calibri" w:eastAsia="Calibri" w:hAnsi="Calibri" w:cs="Calibri"/>
          <w:vertAlign w:val="superscript"/>
        </w:rPr>
        <w:t>9</w:t>
      </w:r>
      <w:r>
        <w:rPr>
          <w:rFonts w:ascii="Calibri" w:eastAsia="Calibri" w:hAnsi="Calibri" w:cs="Calibri"/>
        </w:rPr>
        <w:t xml:space="preserve">, </w:t>
      </w:r>
      <w:proofErr w:type="spellStart"/>
      <w:r>
        <w:rPr>
          <w:rFonts w:ascii="Calibri" w:eastAsia="Calibri" w:hAnsi="Calibri" w:cs="Calibri"/>
        </w:rPr>
        <w:t>Birkebaek</w:t>
      </w:r>
      <w:proofErr w:type="spellEnd"/>
      <w:r>
        <w:rPr>
          <w:rFonts w:ascii="Calibri" w:eastAsia="Calibri" w:hAnsi="Calibri" w:cs="Calibri"/>
        </w:rPr>
        <w:t xml:space="preserve"> N.H</w:t>
      </w:r>
      <w:r>
        <w:rPr>
          <w:rFonts w:ascii="Calibri" w:eastAsia="Calibri" w:hAnsi="Calibri" w:cs="Calibri"/>
          <w:vertAlign w:val="superscript"/>
        </w:rPr>
        <w:t>10</w:t>
      </w:r>
      <w:r>
        <w:rPr>
          <w:rFonts w:ascii="Calibri" w:eastAsia="Calibri" w:hAnsi="Calibri" w:cs="Calibri"/>
        </w:rPr>
        <w:t xml:space="preserve">, </w:t>
      </w:r>
      <w:proofErr w:type="spellStart"/>
      <w:r>
        <w:rPr>
          <w:rFonts w:ascii="Calibri" w:eastAsia="Calibri" w:hAnsi="Calibri" w:cs="Calibri"/>
        </w:rPr>
        <w:t>Hannema</w:t>
      </w:r>
      <w:proofErr w:type="spellEnd"/>
      <w:r>
        <w:rPr>
          <w:rFonts w:ascii="Calibri" w:eastAsia="Calibri" w:hAnsi="Calibri" w:cs="Calibri"/>
        </w:rPr>
        <w:t xml:space="preserve"> S</w:t>
      </w:r>
      <w:r>
        <w:rPr>
          <w:rFonts w:ascii="Calibri" w:eastAsia="Calibri" w:hAnsi="Calibri" w:cs="Calibri"/>
          <w:vertAlign w:val="superscript"/>
        </w:rPr>
        <w:t>11</w:t>
      </w:r>
      <w:r>
        <w:rPr>
          <w:rFonts w:ascii="Calibri" w:eastAsia="Calibri" w:hAnsi="Calibri" w:cs="Calibri"/>
        </w:rPr>
        <w:t>, O Reilly M.W</w:t>
      </w:r>
      <w:r>
        <w:rPr>
          <w:rFonts w:ascii="Calibri" w:eastAsia="Calibri" w:hAnsi="Calibri" w:cs="Calibri"/>
          <w:vertAlign w:val="superscript"/>
        </w:rPr>
        <w:t>12</w:t>
      </w:r>
      <w:r>
        <w:rPr>
          <w:rFonts w:ascii="Calibri" w:eastAsia="Calibri" w:hAnsi="Calibri" w:cs="Calibri"/>
        </w:rPr>
        <w:t>,Cussen L</w:t>
      </w:r>
      <w:r>
        <w:rPr>
          <w:rFonts w:ascii="Calibri" w:eastAsia="Calibri" w:hAnsi="Calibri" w:cs="Calibri"/>
          <w:vertAlign w:val="superscript"/>
        </w:rPr>
        <w:t>12</w:t>
      </w:r>
      <w:r>
        <w:rPr>
          <w:rFonts w:ascii="Calibri" w:eastAsia="Calibri" w:hAnsi="Calibri" w:cs="Calibri"/>
        </w:rPr>
        <w:t>, Zaric S.P</w:t>
      </w:r>
      <w:r>
        <w:rPr>
          <w:rFonts w:ascii="Calibri" w:eastAsia="Calibri" w:hAnsi="Calibri" w:cs="Calibri"/>
          <w:vertAlign w:val="superscript"/>
        </w:rPr>
        <w:t>13</w:t>
      </w:r>
      <w:r>
        <w:rPr>
          <w:rFonts w:ascii="Calibri" w:eastAsia="Calibri" w:hAnsi="Calibri" w:cs="Calibri"/>
        </w:rPr>
        <w:t>, Neumann U</w:t>
      </w:r>
      <w:r>
        <w:rPr>
          <w:rFonts w:ascii="Calibri" w:eastAsia="Calibri" w:hAnsi="Calibri" w:cs="Calibri"/>
          <w:vertAlign w:val="superscript"/>
        </w:rPr>
        <w:t>14</w:t>
      </w:r>
      <w:r>
        <w:rPr>
          <w:rFonts w:ascii="Calibri" w:eastAsia="Calibri" w:hAnsi="Calibri" w:cs="Calibri"/>
        </w:rPr>
        <w:t xml:space="preserve">, </w:t>
      </w:r>
      <w:proofErr w:type="spellStart"/>
      <w:r>
        <w:rPr>
          <w:rFonts w:ascii="Calibri" w:eastAsia="Calibri" w:hAnsi="Calibri" w:cs="Calibri"/>
        </w:rPr>
        <w:t>Baronio</w:t>
      </w:r>
      <w:proofErr w:type="spellEnd"/>
      <w:r>
        <w:rPr>
          <w:rFonts w:ascii="Calibri" w:eastAsia="Calibri" w:hAnsi="Calibri" w:cs="Calibri"/>
        </w:rPr>
        <w:t xml:space="preserve"> F</w:t>
      </w:r>
      <w:r>
        <w:rPr>
          <w:rFonts w:ascii="Calibri" w:eastAsia="Calibri" w:hAnsi="Calibri" w:cs="Calibri"/>
          <w:vertAlign w:val="superscript"/>
        </w:rPr>
        <w:t>15</w:t>
      </w:r>
      <w:r>
        <w:rPr>
          <w:rFonts w:ascii="Calibri" w:eastAsia="Calibri" w:hAnsi="Calibri" w:cs="Calibri"/>
        </w:rPr>
        <w:t>, Vieites A</w:t>
      </w:r>
      <w:r>
        <w:rPr>
          <w:rFonts w:ascii="Calibri" w:eastAsia="Calibri" w:hAnsi="Calibri" w:cs="Calibri"/>
          <w:vertAlign w:val="superscript"/>
        </w:rPr>
        <w:t>16</w:t>
      </w:r>
      <w:r>
        <w:rPr>
          <w:rFonts w:ascii="Calibri" w:eastAsia="Calibri" w:hAnsi="Calibri" w:cs="Calibri"/>
        </w:rPr>
        <w:t>, Alonso G.F</w:t>
      </w:r>
      <w:r>
        <w:rPr>
          <w:rFonts w:ascii="Calibri" w:eastAsia="Calibri" w:hAnsi="Calibri" w:cs="Calibri"/>
          <w:vertAlign w:val="superscript"/>
        </w:rPr>
        <w:t>17</w:t>
      </w:r>
      <w:r>
        <w:rPr>
          <w:rFonts w:ascii="Calibri" w:eastAsia="Calibri" w:hAnsi="Calibri" w:cs="Calibri"/>
        </w:rPr>
        <w:t xml:space="preserve">, </w:t>
      </w:r>
      <w:proofErr w:type="spellStart"/>
      <w:r>
        <w:rPr>
          <w:rFonts w:ascii="Calibri" w:eastAsia="Calibri" w:hAnsi="Calibri" w:cs="Calibri"/>
        </w:rPr>
        <w:t>Elsedfy</w:t>
      </w:r>
      <w:proofErr w:type="spellEnd"/>
      <w:r>
        <w:rPr>
          <w:rFonts w:ascii="Calibri" w:eastAsia="Calibri" w:hAnsi="Calibri" w:cs="Calibri"/>
        </w:rPr>
        <w:t xml:space="preserve"> H</w:t>
      </w:r>
      <w:r>
        <w:rPr>
          <w:rFonts w:ascii="Calibri" w:eastAsia="Calibri" w:hAnsi="Calibri" w:cs="Calibri"/>
          <w:vertAlign w:val="superscript"/>
        </w:rPr>
        <w:t>18</w:t>
      </w:r>
      <w:r>
        <w:rPr>
          <w:rFonts w:ascii="Calibri" w:eastAsia="Calibri" w:hAnsi="Calibri" w:cs="Calibri"/>
        </w:rPr>
        <w:t>, Mazen I</w:t>
      </w:r>
      <w:r>
        <w:rPr>
          <w:rFonts w:ascii="Calibri" w:eastAsia="Calibri" w:hAnsi="Calibri" w:cs="Calibri"/>
          <w:vertAlign w:val="superscript"/>
        </w:rPr>
        <w:t>19</w:t>
      </w:r>
      <w:r>
        <w:rPr>
          <w:rFonts w:ascii="Calibri" w:eastAsia="Calibri" w:hAnsi="Calibri" w:cs="Calibri"/>
        </w:rPr>
        <w:t xml:space="preserve">, </w:t>
      </w:r>
      <w:proofErr w:type="spellStart"/>
      <w:r>
        <w:rPr>
          <w:rFonts w:ascii="Calibri" w:eastAsia="Calibri" w:hAnsi="Calibri" w:cs="Calibri"/>
        </w:rPr>
        <w:t>Thankamony</w:t>
      </w:r>
      <w:proofErr w:type="spellEnd"/>
      <w:r>
        <w:rPr>
          <w:rFonts w:ascii="Calibri" w:eastAsia="Calibri" w:hAnsi="Calibri" w:cs="Calibri"/>
        </w:rPr>
        <w:t xml:space="preserve"> A</w:t>
      </w:r>
      <w:r>
        <w:rPr>
          <w:rFonts w:ascii="Calibri" w:eastAsia="Calibri" w:hAnsi="Calibri" w:cs="Calibri"/>
          <w:vertAlign w:val="superscript"/>
        </w:rPr>
        <w:t>20</w:t>
      </w:r>
      <w:r>
        <w:rPr>
          <w:rFonts w:ascii="Calibri" w:eastAsia="Calibri" w:hAnsi="Calibri" w:cs="Calibri"/>
        </w:rPr>
        <w:t>, Witczak J</w:t>
      </w:r>
      <w:r>
        <w:rPr>
          <w:rFonts w:ascii="Calibri" w:eastAsia="Calibri" w:hAnsi="Calibri" w:cs="Calibri"/>
          <w:vertAlign w:val="superscript"/>
        </w:rPr>
        <w:t>21</w:t>
      </w:r>
      <w:r>
        <w:rPr>
          <w:rFonts w:ascii="Calibri" w:eastAsia="Calibri" w:hAnsi="Calibri" w:cs="Calibri"/>
        </w:rPr>
        <w:t>, Rees D.A</w:t>
      </w:r>
      <w:r>
        <w:rPr>
          <w:rFonts w:ascii="Calibri" w:eastAsia="Calibri" w:hAnsi="Calibri" w:cs="Calibri"/>
          <w:vertAlign w:val="superscript"/>
        </w:rPr>
        <w:t>21</w:t>
      </w:r>
      <w:r>
        <w:rPr>
          <w:rFonts w:ascii="Calibri" w:eastAsia="Calibri" w:hAnsi="Calibri" w:cs="Calibri"/>
        </w:rPr>
        <w:t>, Atapattu N</w:t>
      </w:r>
      <w:r>
        <w:rPr>
          <w:rFonts w:ascii="Calibri" w:eastAsia="Calibri" w:hAnsi="Calibri" w:cs="Calibri"/>
          <w:vertAlign w:val="superscript"/>
        </w:rPr>
        <w:t>22</w:t>
      </w:r>
      <w:r>
        <w:rPr>
          <w:rFonts w:ascii="Calibri" w:eastAsia="Calibri" w:hAnsi="Calibri" w:cs="Calibri"/>
        </w:rPr>
        <w:t>, Seneviratne S.N</w:t>
      </w:r>
      <w:r>
        <w:rPr>
          <w:rFonts w:ascii="Calibri" w:eastAsia="Calibri" w:hAnsi="Calibri" w:cs="Calibri"/>
          <w:vertAlign w:val="superscript"/>
        </w:rPr>
        <w:t>23</w:t>
      </w:r>
      <w:r>
        <w:rPr>
          <w:rFonts w:ascii="Calibri" w:eastAsia="Calibri" w:hAnsi="Calibri" w:cs="Calibri"/>
        </w:rPr>
        <w:t>, Cools M</w:t>
      </w:r>
      <w:r>
        <w:rPr>
          <w:rFonts w:ascii="Calibri" w:eastAsia="Calibri" w:hAnsi="Calibri" w:cs="Calibri"/>
          <w:vertAlign w:val="superscript"/>
        </w:rPr>
        <w:t>24</w:t>
      </w:r>
      <w:r>
        <w:rPr>
          <w:rFonts w:ascii="Calibri" w:eastAsia="Calibri" w:hAnsi="Calibri" w:cs="Calibri"/>
        </w:rPr>
        <w:t>, Hayat El Kaddouri</w:t>
      </w:r>
      <w:r>
        <w:rPr>
          <w:rFonts w:ascii="Calibri" w:eastAsia="Calibri" w:hAnsi="Calibri" w:cs="Calibri"/>
          <w:vertAlign w:val="superscript"/>
        </w:rPr>
        <w:t>24</w:t>
      </w:r>
      <w:r>
        <w:rPr>
          <w:rFonts w:ascii="Calibri" w:eastAsia="Calibri" w:hAnsi="Calibri" w:cs="Calibri"/>
        </w:rPr>
        <w:t>, Alegria Ferri Perez</w:t>
      </w:r>
      <w:r>
        <w:rPr>
          <w:rFonts w:ascii="Calibri" w:eastAsia="Calibri" w:hAnsi="Calibri" w:cs="Calibri"/>
          <w:vertAlign w:val="superscript"/>
        </w:rPr>
        <w:t>24</w:t>
      </w:r>
      <w:r>
        <w:rPr>
          <w:rFonts w:ascii="Calibri" w:eastAsia="Calibri" w:hAnsi="Calibri" w:cs="Calibri"/>
        </w:rPr>
        <w:t>, Guven A</w:t>
      </w:r>
      <w:r>
        <w:rPr>
          <w:rFonts w:ascii="Calibri" w:eastAsia="Calibri" w:hAnsi="Calibri" w:cs="Calibri"/>
          <w:vertAlign w:val="superscript"/>
        </w:rPr>
        <w:t>25</w:t>
      </w:r>
      <w:r>
        <w:rPr>
          <w:rFonts w:ascii="Calibri" w:eastAsia="Calibri" w:hAnsi="Calibri" w:cs="Calibri"/>
        </w:rPr>
        <w:t xml:space="preserve">, </w:t>
      </w:r>
      <w:proofErr w:type="spellStart"/>
      <w:r>
        <w:rPr>
          <w:rFonts w:ascii="Calibri" w:eastAsia="Calibri" w:hAnsi="Calibri" w:cs="Calibri"/>
        </w:rPr>
        <w:t>Poyrazoglu</w:t>
      </w:r>
      <w:proofErr w:type="spellEnd"/>
      <w:r>
        <w:rPr>
          <w:rFonts w:ascii="Calibri" w:eastAsia="Calibri" w:hAnsi="Calibri" w:cs="Calibri"/>
        </w:rPr>
        <w:t xml:space="preserve"> S</w:t>
      </w:r>
      <w:r>
        <w:rPr>
          <w:rFonts w:ascii="Calibri" w:eastAsia="Calibri" w:hAnsi="Calibri" w:cs="Calibri"/>
          <w:vertAlign w:val="superscript"/>
        </w:rPr>
        <w:t>26</w:t>
      </w:r>
      <w:r>
        <w:rPr>
          <w:rFonts w:ascii="Calibri" w:eastAsia="Calibri" w:hAnsi="Calibri" w:cs="Calibri"/>
        </w:rPr>
        <w:t>, Fu A</w:t>
      </w:r>
      <w:r>
        <w:rPr>
          <w:rFonts w:ascii="Calibri" w:eastAsia="Calibri" w:hAnsi="Calibri" w:cs="Calibri"/>
          <w:vertAlign w:val="superscript"/>
        </w:rPr>
        <w:t>27</w:t>
      </w:r>
      <w:r>
        <w:rPr>
          <w:rFonts w:ascii="Calibri" w:eastAsia="Calibri" w:hAnsi="Calibri" w:cs="Calibri"/>
        </w:rPr>
        <w:t>, Janus D</w:t>
      </w:r>
      <w:r>
        <w:rPr>
          <w:rFonts w:ascii="Calibri" w:eastAsia="Calibri" w:hAnsi="Calibri" w:cs="Calibri"/>
          <w:vertAlign w:val="superscript"/>
        </w:rPr>
        <w:t>28</w:t>
      </w:r>
      <w:r>
        <w:rPr>
          <w:rFonts w:ascii="Calibri" w:eastAsia="Calibri" w:hAnsi="Calibri" w:cs="Calibri"/>
        </w:rPr>
        <w:t>, Globa E</w:t>
      </w:r>
      <w:r>
        <w:rPr>
          <w:rFonts w:ascii="Calibri" w:eastAsia="Calibri" w:hAnsi="Calibri" w:cs="Calibri"/>
          <w:vertAlign w:val="superscript"/>
        </w:rPr>
        <w:t>29</w:t>
      </w:r>
      <w:r>
        <w:rPr>
          <w:rFonts w:ascii="Calibri" w:eastAsia="Calibri" w:hAnsi="Calibri" w:cs="Calibri"/>
        </w:rPr>
        <w:t>, Shenoy S</w:t>
      </w:r>
      <w:r>
        <w:rPr>
          <w:rFonts w:ascii="Calibri" w:eastAsia="Calibri" w:hAnsi="Calibri" w:cs="Calibri"/>
          <w:vertAlign w:val="superscript"/>
        </w:rPr>
        <w:t>30</w:t>
      </w:r>
      <w:r>
        <w:rPr>
          <w:rFonts w:ascii="Calibri" w:eastAsia="Calibri" w:hAnsi="Calibri" w:cs="Calibri"/>
        </w:rPr>
        <w:t>, de Bruin C</w:t>
      </w:r>
      <w:r>
        <w:rPr>
          <w:rFonts w:ascii="Calibri" w:eastAsia="Calibri" w:hAnsi="Calibri" w:cs="Calibri"/>
          <w:vertAlign w:val="superscript"/>
        </w:rPr>
        <w:t>31</w:t>
      </w:r>
      <w:r>
        <w:rPr>
          <w:rFonts w:ascii="Calibri" w:eastAsia="Calibri" w:hAnsi="Calibri" w:cs="Calibri"/>
        </w:rPr>
        <w:t xml:space="preserve">, </w:t>
      </w:r>
      <w:proofErr w:type="spellStart"/>
      <w:r>
        <w:rPr>
          <w:rFonts w:ascii="Calibri" w:eastAsia="Calibri" w:hAnsi="Calibri" w:cs="Calibri"/>
        </w:rPr>
        <w:t>Korbonits</w:t>
      </w:r>
      <w:proofErr w:type="spellEnd"/>
      <w:r>
        <w:rPr>
          <w:rFonts w:ascii="Calibri" w:eastAsia="Calibri" w:hAnsi="Calibri" w:cs="Calibri"/>
        </w:rPr>
        <w:t xml:space="preserve"> M</w:t>
      </w:r>
      <w:r>
        <w:rPr>
          <w:rFonts w:ascii="Calibri" w:eastAsia="Calibri" w:hAnsi="Calibri" w:cs="Calibri"/>
          <w:vertAlign w:val="superscript"/>
        </w:rPr>
        <w:t>32</w:t>
      </w:r>
      <w:r>
        <w:rPr>
          <w:rFonts w:ascii="Calibri" w:eastAsia="Calibri" w:hAnsi="Calibri" w:cs="Calibri"/>
        </w:rPr>
        <w:t>, Adam S</w:t>
      </w:r>
      <w:r>
        <w:rPr>
          <w:rFonts w:ascii="Calibri" w:eastAsia="Calibri" w:hAnsi="Calibri" w:cs="Calibri"/>
          <w:vertAlign w:val="superscript"/>
        </w:rPr>
        <w:t>33</w:t>
      </w:r>
      <w:r>
        <w:rPr>
          <w:rFonts w:ascii="Calibri" w:eastAsia="Calibri" w:hAnsi="Calibri" w:cs="Calibri"/>
        </w:rPr>
        <w:t xml:space="preserve">, </w:t>
      </w:r>
      <w:proofErr w:type="spellStart"/>
      <w:r>
        <w:rPr>
          <w:rFonts w:ascii="Calibri" w:eastAsia="Calibri" w:hAnsi="Calibri" w:cs="Calibri"/>
        </w:rPr>
        <w:t>Wasniewska</w:t>
      </w:r>
      <w:proofErr w:type="spellEnd"/>
      <w:r>
        <w:rPr>
          <w:rFonts w:ascii="Calibri" w:eastAsia="Calibri" w:hAnsi="Calibri" w:cs="Calibri"/>
        </w:rPr>
        <w:t xml:space="preserve"> M</w:t>
      </w:r>
      <w:r>
        <w:rPr>
          <w:rFonts w:ascii="Calibri" w:eastAsia="Calibri" w:hAnsi="Calibri" w:cs="Calibri"/>
          <w:vertAlign w:val="superscript"/>
        </w:rPr>
        <w:t>34</w:t>
      </w:r>
      <w:r>
        <w:rPr>
          <w:rFonts w:ascii="Calibri" w:eastAsia="Calibri" w:hAnsi="Calibri" w:cs="Calibri"/>
        </w:rPr>
        <w:t>, Russo G</w:t>
      </w:r>
      <w:r>
        <w:rPr>
          <w:rFonts w:ascii="Calibri" w:eastAsia="Calibri" w:hAnsi="Calibri" w:cs="Calibri"/>
          <w:vertAlign w:val="superscript"/>
        </w:rPr>
        <w:t>35</w:t>
      </w:r>
      <w:r>
        <w:rPr>
          <w:rFonts w:ascii="Calibri" w:eastAsia="Calibri" w:hAnsi="Calibri" w:cs="Calibri"/>
        </w:rPr>
        <w:t>, Phan-Hug F</w:t>
      </w:r>
      <w:r>
        <w:rPr>
          <w:rFonts w:ascii="Calibri" w:eastAsia="Calibri" w:hAnsi="Calibri" w:cs="Calibri"/>
          <w:vertAlign w:val="superscript"/>
        </w:rPr>
        <w:t>36,37</w:t>
      </w:r>
      <w:r>
        <w:rPr>
          <w:rFonts w:ascii="Calibri" w:eastAsia="Calibri" w:hAnsi="Calibri" w:cs="Calibri"/>
        </w:rPr>
        <w:t>, Bonfig W</w:t>
      </w:r>
      <w:r>
        <w:rPr>
          <w:rFonts w:ascii="Calibri" w:eastAsia="Calibri" w:hAnsi="Calibri" w:cs="Calibri"/>
          <w:vertAlign w:val="superscript"/>
        </w:rPr>
        <w:t>38</w:t>
      </w:r>
      <w:r>
        <w:rPr>
          <w:rFonts w:ascii="Calibri" w:eastAsia="Calibri" w:hAnsi="Calibri" w:cs="Calibri"/>
        </w:rPr>
        <w:t>, Salerno M</w:t>
      </w:r>
      <w:r>
        <w:rPr>
          <w:rFonts w:ascii="Calibri" w:eastAsia="Calibri" w:hAnsi="Calibri" w:cs="Calibri"/>
          <w:vertAlign w:val="superscript"/>
        </w:rPr>
        <w:t>39</w:t>
      </w:r>
      <w:r>
        <w:rPr>
          <w:rFonts w:ascii="Calibri" w:eastAsia="Calibri" w:hAnsi="Calibri" w:cs="Calibri"/>
        </w:rPr>
        <w:t>, Tomlinson J.W</w:t>
      </w:r>
      <w:r>
        <w:rPr>
          <w:rFonts w:ascii="Calibri" w:eastAsia="Calibri" w:hAnsi="Calibri" w:cs="Calibri"/>
          <w:vertAlign w:val="superscript"/>
        </w:rPr>
        <w:t>40</w:t>
      </w:r>
      <w:r>
        <w:rPr>
          <w:rFonts w:ascii="Calibri" w:eastAsia="Calibri" w:hAnsi="Calibri" w:cs="Calibri"/>
        </w:rPr>
        <w:t>, Leka-Emiri S</w:t>
      </w:r>
      <w:r>
        <w:rPr>
          <w:rFonts w:ascii="Calibri" w:eastAsia="Calibri" w:hAnsi="Calibri" w:cs="Calibri"/>
          <w:vertAlign w:val="superscript"/>
        </w:rPr>
        <w:t>41</w:t>
      </w:r>
      <w:r>
        <w:rPr>
          <w:rFonts w:ascii="Calibri" w:eastAsia="Calibri" w:hAnsi="Calibri" w:cs="Calibri"/>
        </w:rPr>
        <w:t>, de Vries L</w:t>
      </w:r>
      <w:r>
        <w:rPr>
          <w:rFonts w:ascii="Calibri" w:eastAsia="Calibri" w:hAnsi="Calibri" w:cs="Calibri"/>
          <w:vertAlign w:val="superscript"/>
        </w:rPr>
        <w:t>42</w:t>
      </w:r>
      <w:r>
        <w:rPr>
          <w:rFonts w:ascii="Calibri" w:eastAsia="Calibri" w:hAnsi="Calibri" w:cs="Calibri"/>
        </w:rPr>
        <w:t xml:space="preserve">, </w:t>
      </w:r>
      <w:proofErr w:type="spellStart"/>
      <w:r>
        <w:rPr>
          <w:rFonts w:ascii="Calibri" w:eastAsia="Calibri" w:hAnsi="Calibri" w:cs="Calibri"/>
        </w:rPr>
        <w:t>Yarhere</w:t>
      </w:r>
      <w:proofErr w:type="spellEnd"/>
      <w:r>
        <w:rPr>
          <w:rFonts w:ascii="Calibri" w:eastAsia="Calibri" w:hAnsi="Calibri" w:cs="Calibri"/>
        </w:rPr>
        <w:t xml:space="preserve"> I</w:t>
      </w:r>
      <w:r>
        <w:rPr>
          <w:rFonts w:ascii="Calibri" w:eastAsia="Calibri" w:hAnsi="Calibri" w:cs="Calibri"/>
          <w:vertAlign w:val="superscript"/>
        </w:rPr>
        <w:t>43</w:t>
      </w:r>
      <w:r>
        <w:rPr>
          <w:rFonts w:ascii="Calibri" w:eastAsia="Calibri" w:hAnsi="Calibri" w:cs="Calibri"/>
        </w:rPr>
        <w:t xml:space="preserve">, </w:t>
      </w:r>
      <w:proofErr w:type="spellStart"/>
      <w:r>
        <w:rPr>
          <w:rFonts w:ascii="Calibri" w:eastAsia="Calibri" w:hAnsi="Calibri" w:cs="Calibri"/>
        </w:rPr>
        <w:t>Guaranga</w:t>
      </w:r>
      <w:proofErr w:type="spellEnd"/>
      <w:r>
        <w:rPr>
          <w:rFonts w:ascii="Calibri" w:eastAsia="Calibri" w:hAnsi="Calibri" w:cs="Calibri"/>
        </w:rPr>
        <w:t>-Filho G</w:t>
      </w:r>
      <w:r>
        <w:rPr>
          <w:rFonts w:ascii="Calibri" w:eastAsia="Calibri" w:hAnsi="Calibri" w:cs="Calibri"/>
          <w:vertAlign w:val="superscript"/>
        </w:rPr>
        <w:t>44</w:t>
      </w:r>
      <w:r>
        <w:rPr>
          <w:rFonts w:ascii="Calibri" w:eastAsia="Calibri" w:hAnsi="Calibri" w:cs="Calibri"/>
        </w:rPr>
        <w:t>, van Eck J</w:t>
      </w:r>
      <w:r>
        <w:rPr>
          <w:rFonts w:ascii="Calibri" w:eastAsia="Calibri" w:hAnsi="Calibri" w:cs="Calibri"/>
          <w:vertAlign w:val="superscript"/>
        </w:rPr>
        <w:t>45</w:t>
      </w:r>
      <w:r>
        <w:rPr>
          <w:rFonts w:ascii="Calibri" w:eastAsia="Calibri" w:hAnsi="Calibri" w:cs="Calibri"/>
        </w:rPr>
        <w:t xml:space="preserve">, </w:t>
      </w:r>
      <w:proofErr w:type="spellStart"/>
      <w:r>
        <w:rPr>
          <w:rFonts w:ascii="Calibri" w:eastAsia="Calibri" w:hAnsi="Calibri" w:cs="Calibri"/>
        </w:rPr>
        <w:t>Bachega</w:t>
      </w:r>
      <w:proofErr w:type="spellEnd"/>
      <w:r>
        <w:rPr>
          <w:rFonts w:ascii="Calibri" w:eastAsia="Calibri" w:hAnsi="Calibri" w:cs="Calibri"/>
        </w:rPr>
        <w:t xml:space="preserve"> T.A.S.S</w:t>
      </w:r>
      <w:r>
        <w:rPr>
          <w:rFonts w:ascii="Calibri" w:eastAsia="Calibri" w:hAnsi="Calibri" w:cs="Calibri"/>
          <w:vertAlign w:val="superscript"/>
        </w:rPr>
        <w:t>46</w:t>
      </w:r>
      <w:r>
        <w:rPr>
          <w:rFonts w:ascii="Calibri" w:eastAsia="Calibri" w:hAnsi="Calibri" w:cs="Calibri"/>
        </w:rPr>
        <w:t>, Krone N</w:t>
      </w:r>
      <w:r>
        <w:rPr>
          <w:rFonts w:ascii="Calibri" w:eastAsia="Calibri" w:hAnsi="Calibri" w:cs="Calibri"/>
          <w:vertAlign w:val="superscript"/>
        </w:rPr>
        <w:t>47</w:t>
      </w:r>
      <w:r>
        <w:rPr>
          <w:rFonts w:ascii="Calibri" w:eastAsia="Calibri" w:hAnsi="Calibri" w:cs="Calibri"/>
        </w:rPr>
        <w:t>, De Bono M</w:t>
      </w:r>
      <w:r>
        <w:rPr>
          <w:rFonts w:ascii="Calibri" w:eastAsia="Calibri" w:hAnsi="Calibri" w:cs="Calibri"/>
          <w:vertAlign w:val="superscript"/>
        </w:rPr>
        <w:t>48</w:t>
      </w:r>
      <w:r>
        <w:rPr>
          <w:rFonts w:ascii="Calibri" w:eastAsia="Calibri" w:hAnsi="Calibri" w:cs="Calibri"/>
        </w:rPr>
        <w:t>, Davies JH</w:t>
      </w:r>
      <w:r>
        <w:rPr>
          <w:rFonts w:ascii="Calibri" w:eastAsia="Calibri" w:hAnsi="Calibri" w:cs="Calibri"/>
          <w:vertAlign w:val="superscript"/>
        </w:rPr>
        <w:t>49</w:t>
      </w:r>
      <w:r>
        <w:rPr>
          <w:rFonts w:ascii="Calibri" w:eastAsia="Calibri" w:hAnsi="Calibri" w:cs="Calibri"/>
        </w:rPr>
        <w:t>, Segev-Becker A</w:t>
      </w:r>
      <w:r>
        <w:rPr>
          <w:rFonts w:ascii="Calibri" w:eastAsia="Calibri" w:hAnsi="Calibri" w:cs="Calibri"/>
          <w:vertAlign w:val="superscript"/>
        </w:rPr>
        <w:t>50</w:t>
      </w:r>
      <w:r>
        <w:rPr>
          <w:rFonts w:ascii="Calibri" w:eastAsia="Calibri" w:hAnsi="Calibri" w:cs="Calibri"/>
        </w:rPr>
        <w:t xml:space="preserve">, </w:t>
      </w:r>
      <w:proofErr w:type="spellStart"/>
      <w:r>
        <w:rPr>
          <w:rFonts w:ascii="Calibri" w:eastAsia="Calibri" w:hAnsi="Calibri" w:cs="Calibri"/>
        </w:rPr>
        <w:t>Iotova</w:t>
      </w:r>
      <w:proofErr w:type="spellEnd"/>
      <w:r>
        <w:rPr>
          <w:rFonts w:ascii="Calibri" w:eastAsia="Calibri" w:hAnsi="Calibri" w:cs="Calibri"/>
        </w:rPr>
        <w:t xml:space="preserve"> V</w:t>
      </w:r>
      <w:r>
        <w:rPr>
          <w:rFonts w:ascii="Calibri" w:eastAsia="Calibri" w:hAnsi="Calibri" w:cs="Calibri"/>
          <w:vertAlign w:val="superscript"/>
        </w:rPr>
        <w:t>51</w:t>
      </w:r>
      <w:r>
        <w:rPr>
          <w:rFonts w:ascii="Calibri" w:eastAsia="Calibri" w:hAnsi="Calibri" w:cs="Calibri"/>
        </w:rPr>
        <w:t>, Lenherr-Taube N</w:t>
      </w:r>
      <w:r>
        <w:rPr>
          <w:rFonts w:ascii="Calibri" w:eastAsia="Calibri" w:hAnsi="Calibri" w:cs="Calibri"/>
          <w:vertAlign w:val="superscript"/>
        </w:rPr>
        <w:t>52</w:t>
      </w:r>
      <w:r>
        <w:rPr>
          <w:rFonts w:ascii="Calibri" w:eastAsia="Calibri" w:hAnsi="Calibri" w:cs="Calibri"/>
        </w:rPr>
        <w:t>, German A</w:t>
      </w:r>
      <w:r>
        <w:rPr>
          <w:rFonts w:ascii="Calibri" w:eastAsia="Calibri" w:hAnsi="Calibri" w:cs="Calibri"/>
          <w:vertAlign w:val="superscript"/>
        </w:rPr>
        <w:t>53</w:t>
      </w:r>
      <w:r>
        <w:rPr>
          <w:rFonts w:ascii="Calibri" w:eastAsia="Calibri" w:hAnsi="Calibri" w:cs="Calibri"/>
        </w:rPr>
        <w:t>, Giordano R</w:t>
      </w:r>
      <w:r>
        <w:rPr>
          <w:rFonts w:ascii="Calibri" w:eastAsia="Calibri" w:hAnsi="Calibri" w:cs="Calibri"/>
          <w:vertAlign w:val="superscript"/>
        </w:rPr>
        <w:t>54</w:t>
      </w:r>
      <w:r>
        <w:rPr>
          <w:rFonts w:ascii="Calibri" w:eastAsia="Calibri" w:hAnsi="Calibri" w:cs="Calibri"/>
        </w:rPr>
        <w:t>, De Sanctis L</w:t>
      </w:r>
      <w:r>
        <w:rPr>
          <w:rFonts w:ascii="Calibri" w:eastAsia="Calibri" w:hAnsi="Calibri" w:cs="Calibri"/>
          <w:vertAlign w:val="superscript"/>
        </w:rPr>
        <w:t>55</w:t>
      </w:r>
      <w:r>
        <w:rPr>
          <w:rFonts w:ascii="Calibri" w:eastAsia="Calibri" w:hAnsi="Calibri" w:cs="Calibri"/>
        </w:rPr>
        <w:t>, Probst U</w:t>
      </w:r>
      <w:r>
        <w:rPr>
          <w:rFonts w:ascii="Calibri" w:eastAsia="Calibri" w:hAnsi="Calibri" w:cs="Calibri"/>
          <w:vertAlign w:val="superscript"/>
        </w:rPr>
        <w:t>56</w:t>
      </w:r>
      <w:r>
        <w:rPr>
          <w:rFonts w:ascii="Calibri" w:eastAsia="Calibri" w:hAnsi="Calibri" w:cs="Calibri"/>
        </w:rPr>
        <w:t>, Markosyan R</w:t>
      </w:r>
      <w:r>
        <w:rPr>
          <w:rFonts w:ascii="Calibri" w:eastAsia="Calibri" w:hAnsi="Calibri" w:cs="Calibri"/>
          <w:vertAlign w:val="superscript"/>
        </w:rPr>
        <w:t>57</w:t>
      </w:r>
      <w:r>
        <w:rPr>
          <w:rFonts w:ascii="Calibri" w:eastAsia="Calibri" w:hAnsi="Calibri" w:cs="Calibri"/>
        </w:rPr>
        <w:t>, Brewer D</w:t>
      </w:r>
      <w:r>
        <w:rPr>
          <w:rFonts w:ascii="Calibri" w:eastAsia="Calibri" w:hAnsi="Calibri" w:cs="Calibri"/>
          <w:vertAlign w:val="superscript"/>
        </w:rPr>
        <w:t>58</w:t>
      </w:r>
      <w:r>
        <w:rPr>
          <w:rFonts w:ascii="Calibri" w:eastAsia="Calibri" w:hAnsi="Calibri" w:cs="Calibri"/>
        </w:rPr>
        <w:t>, Costa E.C</w:t>
      </w:r>
      <w:r>
        <w:rPr>
          <w:rFonts w:ascii="Calibri" w:eastAsia="Calibri" w:hAnsi="Calibri" w:cs="Calibri"/>
          <w:vertAlign w:val="superscript"/>
        </w:rPr>
        <w:t>59</w:t>
      </w:r>
      <w:r>
        <w:rPr>
          <w:rFonts w:ascii="Calibri" w:eastAsia="Calibri" w:hAnsi="Calibri" w:cs="Calibri"/>
        </w:rPr>
        <w:t>, Webb EA</w:t>
      </w:r>
      <w:r>
        <w:rPr>
          <w:rFonts w:ascii="Calibri" w:eastAsia="Calibri" w:hAnsi="Calibri" w:cs="Calibri"/>
          <w:vertAlign w:val="superscript"/>
        </w:rPr>
        <w:t>1, 60</w:t>
      </w:r>
    </w:p>
    <w:p w14:paraId="310A7334" w14:textId="77777777" w:rsidR="00F05212" w:rsidRDefault="00F05212" w:rsidP="00F05212">
      <w:pPr>
        <w:spacing w:line="480" w:lineRule="auto"/>
        <w:rPr>
          <w:rFonts w:ascii="Calibri" w:eastAsia="Calibri" w:hAnsi="Calibri" w:cs="Calibri"/>
        </w:rPr>
      </w:pPr>
      <w:r>
        <w:rPr>
          <w:rFonts w:ascii="Calibri" w:eastAsia="Calibri" w:hAnsi="Calibri" w:cs="Calibri"/>
        </w:rPr>
        <w:t>* These authors contributed equally to this work</w:t>
      </w:r>
    </w:p>
    <w:p w14:paraId="07ED1B92" w14:textId="77777777" w:rsidR="00F05212" w:rsidRPr="0096734B" w:rsidRDefault="00F05212" w:rsidP="00F05212">
      <w:pPr>
        <w:spacing w:before="240" w:after="240" w:line="360" w:lineRule="auto"/>
        <w:rPr>
          <w:rFonts w:ascii="Calibri" w:eastAsia="Calibri" w:hAnsi="Calibri" w:cs="Calibri"/>
          <w:i/>
          <w:sz w:val="24"/>
          <w:szCs w:val="24"/>
          <w:vertAlign w:val="superscript"/>
        </w:rPr>
      </w:pPr>
      <w:r>
        <w:rPr>
          <w:rFonts w:ascii="Calibri" w:eastAsia="Calibri" w:hAnsi="Calibri" w:cs="Calibri"/>
          <w:i/>
          <w:sz w:val="10"/>
          <w:szCs w:val="10"/>
          <w:vertAlign w:val="superscript"/>
        </w:rPr>
        <w:t>1</w:t>
      </w:r>
      <w:r>
        <w:rPr>
          <w:rFonts w:ascii="Calibri" w:eastAsia="Calibri" w:hAnsi="Calibri" w:cs="Calibri"/>
          <w:i/>
          <w:sz w:val="10"/>
          <w:szCs w:val="10"/>
        </w:rPr>
        <w:t xml:space="preserve"> Norwich Medical School, University of East Anglia, Norwich, UK, </w:t>
      </w:r>
      <w:r>
        <w:rPr>
          <w:rFonts w:ascii="Calibri" w:eastAsia="Calibri" w:hAnsi="Calibri" w:cs="Calibri"/>
          <w:i/>
          <w:sz w:val="10"/>
          <w:szCs w:val="10"/>
          <w:vertAlign w:val="superscript"/>
        </w:rPr>
        <w:t>2</w:t>
      </w:r>
      <w:r>
        <w:rPr>
          <w:rFonts w:ascii="Calibri" w:eastAsia="Calibri" w:hAnsi="Calibri" w:cs="Calibri"/>
          <w:i/>
          <w:sz w:val="10"/>
          <w:szCs w:val="10"/>
        </w:rPr>
        <w:t xml:space="preserve"> Office for Rare Conditions, Royal Hospital for Children &amp; Queen Elizabeth University Hospital, Glasgow, United Kingdom, </w:t>
      </w:r>
      <w:r>
        <w:rPr>
          <w:rFonts w:ascii="Calibri" w:eastAsia="Calibri" w:hAnsi="Calibri" w:cs="Calibri"/>
          <w:i/>
          <w:sz w:val="10"/>
          <w:szCs w:val="10"/>
          <w:vertAlign w:val="superscript"/>
        </w:rPr>
        <w:t xml:space="preserve">3 </w:t>
      </w:r>
      <w:r>
        <w:rPr>
          <w:rFonts w:ascii="Calibri" w:eastAsia="Calibri" w:hAnsi="Calibri" w:cs="Calibri"/>
          <w:i/>
          <w:sz w:val="10"/>
          <w:szCs w:val="10"/>
        </w:rPr>
        <w:t xml:space="preserve">Developmental Endocrinology Research Group, School of Medicine, Dentistry &amp; Nursing, University of Glasgow, Glasgow, United Kingdom, </w:t>
      </w:r>
      <w:r>
        <w:rPr>
          <w:rFonts w:ascii="Calibri" w:eastAsia="Calibri" w:hAnsi="Calibri" w:cs="Calibri"/>
          <w:i/>
          <w:sz w:val="10"/>
          <w:szCs w:val="10"/>
          <w:vertAlign w:val="superscript"/>
        </w:rPr>
        <w:t xml:space="preserve">4 </w:t>
      </w:r>
      <w:r>
        <w:rPr>
          <w:rFonts w:ascii="Calibri" w:eastAsia="Calibri" w:hAnsi="Calibri" w:cs="Calibri"/>
          <w:i/>
          <w:sz w:val="10"/>
          <w:szCs w:val="10"/>
        </w:rPr>
        <w:t xml:space="preserve">Royal Devon University Healthcare NHS Foundation Trust, </w:t>
      </w:r>
      <w:r>
        <w:rPr>
          <w:rFonts w:ascii="Calibri" w:eastAsia="Calibri" w:hAnsi="Calibri" w:cs="Calibri"/>
          <w:i/>
          <w:sz w:val="10"/>
          <w:szCs w:val="10"/>
          <w:vertAlign w:val="superscript"/>
        </w:rPr>
        <w:t>5</w:t>
      </w:r>
      <w:r>
        <w:rPr>
          <w:rFonts w:ascii="Calibri" w:eastAsia="Calibri" w:hAnsi="Calibri" w:cs="Calibri"/>
          <w:i/>
          <w:sz w:val="10"/>
          <w:szCs w:val="10"/>
        </w:rPr>
        <w:t xml:space="preserve"> Department of Paediatric Endocrinology, Birmingham Women's &amp; Children's Hospital, Birmingham B4 6NH, UK, </w:t>
      </w:r>
      <w:r>
        <w:rPr>
          <w:rFonts w:ascii="Calibri" w:eastAsia="Calibri" w:hAnsi="Calibri" w:cs="Calibri"/>
          <w:i/>
          <w:sz w:val="10"/>
          <w:szCs w:val="10"/>
          <w:vertAlign w:val="superscript"/>
        </w:rPr>
        <w:t>6</w:t>
      </w:r>
      <w:r>
        <w:rPr>
          <w:rFonts w:ascii="Calibri" w:eastAsia="Calibri" w:hAnsi="Calibri" w:cs="Calibri"/>
          <w:i/>
          <w:sz w:val="10"/>
          <w:szCs w:val="10"/>
        </w:rPr>
        <w:t xml:space="preserv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Diabetology and Metabolism, Department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and Department of Biomedical Research, Bern University Hospital </w:t>
      </w:r>
      <w:proofErr w:type="spellStart"/>
      <w:r>
        <w:rPr>
          <w:rFonts w:ascii="Calibri" w:eastAsia="Calibri" w:hAnsi="Calibri" w:cs="Calibri"/>
          <w:i/>
          <w:sz w:val="10"/>
          <w:szCs w:val="10"/>
        </w:rPr>
        <w:t>Inselspital</w:t>
      </w:r>
      <w:proofErr w:type="spellEnd"/>
      <w:r>
        <w:rPr>
          <w:rFonts w:ascii="Calibri" w:eastAsia="Calibri" w:hAnsi="Calibri" w:cs="Calibri"/>
          <w:i/>
          <w:sz w:val="10"/>
          <w:szCs w:val="10"/>
        </w:rPr>
        <w:t xml:space="preserve">, University of Bern, 3010 Bern, Switzerland, </w:t>
      </w:r>
      <w:r>
        <w:rPr>
          <w:rFonts w:ascii="Calibri" w:eastAsia="Calibri" w:hAnsi="Calibri" w:cs="Calibri"/>
          <w:i/>
          <w:sz w:val="10"/>
          <w:szCs w:val="10"/>
          <w:vertAlign w:val="superscript"/>
        </w:rPr>
        <w:t>7</w:t>
      </w:r>
      <w:r>
        <w:rPr>
          <w:rFonts w:ascii="Calibri" w:eastAsia="Calibri" w:hAnsi="Calibri" w:cs="Calibri"/>
          <w:i/>
          <w:sz w:val="10"/>
          <w:szCs w:val="10"/>
        </w:rPr>
        <w:t xml:space="preserve"> Department of Women's and Children's Health, Karolinska Institute, Stockholm, Sweden/Paediatric Endocrinology Unit, Karolinska University Hospital, Stockholm, Sweden, </w:t>
      </w:r>
      <w:r>
        <w:rPr>
          <w:rFonts w:ascii="Calibri" w:eastAsia="Calibri" w:hAnsi="Calibri" w:cs="Calibri"/>
          <w:i/>
          <w:sz w:val="10"/>
          <w:szCs w:val="10"/>
          <w:vertAlign w:val="superscript"/>
        </w:rPr>
        <w:t>8</w:t>
      </w:r>
      <w:r>
        <w:rPr>
          <w:rFonts w:ascii="Calibri" w:eastAsia="Calibri" w:hAnsi="Calibri" w:cs="Calibri"/>
          <w:i/>
          <w:sz w:val="10"/>
          <w:szCs w:val="10"/>
        </w:rPr>
        <w:t xml:space="preserve"> </w:t>
      </w:r>
      <w:proofErr w:type="spellStart"/>
      <w:r>
        <w:rPr>
          <w:rFonts w:ascii="Calibri" w:eastAsia="Calibri" w:hAnsi="Calibri" w:cs="Calibri"/>
          <w:i/>
          <w:sz w:val="10"/>
          <w:szCs w:val="10"/>
        </w:rPr>
        <w:t>Medizinische</w:t>
      </w:r>
      <w:proofErr w:type="spellEnd"/>
      <w:r>
        <w:rPr>
          <w:rFonts w:ascii="Calibri" w:eastAsia="Calibri" w:hAnsi="Calibri" w:cs="Calibri"/>
          <w:i/>
          <w:sz w:val="10"/>
          <w:szCs w:val="10"/>
        </w:rPr>
        <w:t xml:space="preserve"> Klinik IV, Ludwig-Maximillian University Hospital Munich, Munich, Germany,</w:t>
      </w:r>
      <w:r>
        <w:rPr>
          <w:rFonts w:ascii="Calibri" w:eastAsia="Calibri" w:hAnsi="Calibri" w:cs="Calibri"/>
          <w:i/>
          <w:sz w:val="10"/>
          <w:szCs w:val="10"/>
          <w:vertAlign w:val="superscript"/>
        </w:rPr>
        <w:t>9</w:t>
      </w:r>
      <w:r>
        <w:rPr>
          <w:rFonts w:ascii="Calibri" w:eastAsia="Calibri" w:hAnsi="Calibri" w:cs="Calibri"/>
          <w:i/>
          <w:sz w:val="10"/>
          <w:szCs w:val="10"/>
        </w:rPr>
        <w:t xml:space="preserve"> Department of Paediatrics, Division of Paediatric Endocrinology, Radboud university medical centre, Amalia Children’s hospital, Nijmegen, the Netherlands, </w:t>
      </w:r>
      <w:r>
        <w:rPr>
          <w:rFonts w:ascii="Calibri" w:eastAsia="Calibri" w:hAnsi="Calibri" w:cs="Calibri"/>
          <w:i/>
          <w:sz w:val="10"/>
          <w:szCs w:val="10"/>
          <w:vertAlign w:val="superscript"/>
        </w:rPr>
        <w:t>10</w:t>
      </w:r>
      <w:r>
        <w:rPr>
          <w:rFonts w:ascii="Calibri" w:eastAsia="Calibri" w:hAnsi="Calibri" w:cs="Calibri"/>
          <w:i/>
          <w:sz w:val="10"/>
          <w:szCs w:val="10"/>
        </w:rPr>
        <w:t xml:space="preserve"> Department of Paediatrics, Aarhus University Hospital, Aarhus N., Denmark, </w:t>
      </w:r>
      <w:r>
        <w:rPr>
          <w:rFonts w:ascii="Calibri" w:eastAsia="Calibri" w:hAnsi="Calibri" w:cs="Calibri"/>
          <w:i/>
          <w:sz w:val="10"/>
          <w:szCs w:val="10"/>
          <w:vertAlign w:val="superscript"/>
        </w:rPr>
        <w:t>11</w:t>
      </w:r>
      <w:r>
        <w:rPr>
          <w:rFonts w:ascii="Calibri" w:eastAsia="Calibri" w:hAnsi="Calibri" w:cs="Calibri"/>
          <w:i/>
          <w:sz w:val="10"/>
          <w:szCs w:val="10"/>
        </w:rPr>
        <w:t xml:space="preserve"> Department of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Amsterdam UMC location Vrije Universiteit Amsterdam, Amsterdam, The Netherlands, </w:t>
      </w:r>
      <w:r>
        <w:rPr>
          <w:rFonts w:ascii="Calibri" w:eastAsia="Calibri" w:hAnsi="Calibri" w:cs="Calibri"/>
          <w:i/>
          <w:sz w:val="10"/>
          <w:szCs w:val="10"/>
          <w:vertAlign w:val="superscript"/>
        </w:rPr>
        <w:t>12</w:t>
      </w:r>
      <w:r>
        <w:rPr>
          <w:rFonts w:ascii="Calibri" w:eastAsia="Calibri" w:hAnsi="Calibri" w:cs="Calibri"/>
          <w:i/>
          <w:sz w:val="10"/>
          <w:szCs w:val="10"/>
        </w:rPr>
        <w:t xml:space="preserve"> Beaumont Hospital and RCSI University of Medicine and Health Sciences, Dublin, Ireland, </w:t>
      </w:r>
      <w:r>
        <w:rPr>
          <w:rFonts w:ascii="Calibri" w:eastAsia="Calibri" w:hAnsi="Calibri" w:cs="Calibri"/>
          <w:i/>
          <w:sz w:val="10"/>
          <w:szCs w:val="10"/>
          <w:vertAlign w:val="superscript"/>
        </w:rPr>
        <w:t>13</w:t>
      </w:r>
      <w:r>
        <w:rPr>
          <w:rFonts w:ascii="Calibri" w:eastAsia="Calibri" w:hAnsi="Calibri" w:cs="Calibri"/>
          <w:i/>
          <w:sz w:val="10"/>
          <w:szCs w:val="10"/>
        </w:rPr>
        <w:t xml:space="preserve"> Department of Endocrinology, Institute for Mother and Child Healthcare of Serbia, </w:t>
      </w:r>
      <w:r>
        <w:rPr>
          <w:rFonts w:ascii="Calibri" w:eastAsia="Calibri" w:hAnsi="Calibri" w:cs="Calibri"/>
          <w:i/>
          <w:sz w:val="10"/>
          <w:szCs w:val="10"/>
          <w:vertAlign w:val="superscript"/>
        </w:rPr>
        <w:t>14</w:t>
      </w:r>
      <w:r>
        <w:rPr>
          <w:rFonts w:ascii="Calibri" w:eastAsia="Calibri" w:hAnsi="Calibri" w:cs="Calibri"/>
          <w:i/>
          <w:sz w:val="10"/>
          <w:szCs w:val="10"/>
        </w:rPr>
        <w:t xml:space="preserve"> Institute for Experimental Paediatric Endocrinology, Charité </w:t>
      </w:r>
      <w:proofErr w:type="spellStart"/>
      <w:r>
        <w:rPr>
          <w:rFonts w:ascii="Calibri" w:eastAsia="Calibri" w:hAnsi="Calibri" w:cs="Calibri"/>
          <w:i/>
          <w:sz w:val="10"/>
          <w:szCs w:val="10"/>
        </w:rPr>
        <w:t>Universitätsmedizin</w:t>
      </w:r>
      <w:proofErr w:type="spellEnd"/>
      <w:r>
        <w:rPr>
          <w:rFonts w:ascii="Calibri" w:eastAsia="Calibri" w:hAnsi="Calibri" w:cs="Calibri"/>
          <w:i/>
          <w:sz w:val="10"/>
          <w:szCs w:val="10"/>
        </w:rPr>
        <w:t xml:space="preserve"> Berlin, Berlin, Germany, </w:t>
      </w:r>
      <w:r>
        <w:rPr>
          <w:rFonts w:ascii="Calibri" w:eastAsia="Calibri" w:hAnsi="Calibri" w:cs="Calibri"/>
          <w:i/>
          <w:sz w:val="10"/>
          <w:szCs w:val="10"/>
          <w:vertAlign w:val="superscript"/>
        </w:rPr>
        <w:t>15</w:t>
      </w:r>
      <w:r>
        <w:rPr>
          <w:rFonts w:ascii="Calibri" w:eastAsia="Calibri" w:hAnsi="Calibri" w:cs="Calibri"/>
          <w:i/>
          <w:sz w:val="10"/>
          <w:szCs w:val="10"/>
        </w:rPr>
        <w:t xml:space="preserve"> Department Hospital of Woman and Child,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Unit,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for Rare Endocrine Conditions (Endo-ERN), IRCCS - </w:t>
      </w:r>
      <w:proofErr w:type="spellStart"/>
      <w:r>
        <w:rPr>
          <w:rFonts w:ascii="Calibri" w:eastAsia="Calibri" w:hAnsi="Calibri" w:cs="Calibri"/>
          <w:i/>
          <w:sz w:val="10"/>
          <w:szCs w:val="10"/>
        </w:rPr>
        <w:t>S.Orsola</w:t>
      </w:r>
      <w:proofErr w:type="spellEnd"/>
      <w:r>
        <w:rPr>
          <w:rFonts w:ascii="Calibri" w:eastAsia="Calibri" w:hAnsi="Calibri" w:cs="Calibri"/>
          <w:i/>
          <w:sz w:val="10"/>
          <w:szCs w:val="10"/>
        </w:rPr>
        <w:t xml:space="preserve">-Malpighi University Hospital, 40138 Bologna, Italy, </w:t>
      </w:r>
      <w:r>
        <w:rPr>
          <w:rFonts w:ascii="Calibri" w:eastAsia="Calibri" w:hAnsi="Calibri" w:cs="Calibri"/>
          <w:i/>
          <w:sz w:val="10"/>
          <w:szCs w:val="10"/>
          <w:vertAlign w:val="superscript"/>
        </w:rPr>
        <w:t>16</w:t>
      </w:r>
      <w:r>
        <w:rPr>
          <w:rFonts w:ascii="Calibri" w:eastAsia="Calibri" w:hAnsi="Calibri" w:cs="Calibri"/>
          <w:i/>
          <w:sz w:val="10"/>
          <w:szCs w:val="10"/>
        </w:rPr>
        <w:t xml:space="preserve"> Centro de </w:t>
      </w:r>
      <w:proofErr w:type="spellStart"/>
      <w:r>
        <w:rPr>
          <w:rFonts w:ascii="Calibri" w:eastAsia="Calibri" w:hAnsi="Calibri" w:cs="Calibri"/>
          <w:i/>
          <w:sz w:val="10"/>
          <w:szCs w:val="10"/>
        </w:rPr>
        <w:t>Investigaciones</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Endocrinológicas</w:t>
      </w:r>
      <w:proofErr w:type="spellEnd"/>
      <w:r>
        <w:rPr>
          <w:rFonts w:ascii="Calibri" w:eastAsia="Calibri" w:hAnsi="Calibri" w:cs="Calibri"/>
          <w:i/>
          <w:sz w:val="10"/>
          <w:szCs w:val="10"/>
        </w:rPr>
        <w:t xml:space="preserve">, División de </w:t>
      </w:r>
      <w:proofErr w:type="spellStart"/>
      <w:r>
        <w:rPr>
          <w:rFonts w:ascii="Calibri" w:eastAsia="Calibri" w:hAnsi="Calibri" w:cs="Calibri"/>
          <w:i/>
          <w:sz w:val="10"/>
          <w:szCs w:val="10"/>
        </w:rPr>
        <w:t>Endocrinología</w:t>
      </w:r>
      <w:proofErr w:type="spellEnd"/>
      <w:r>
        <w:rPr>
          <w:rFonts w:ascii="Calibri" w:eastAsia="Calibri" w:hAnsi="Calibri" w:cs="Calibri"/>
          <w:i/>
          <w:sz w:val="10"/>
          <w:szCs w:val="10"/>
        </w:rPr>
        <w:t xml:space="preserve">, Hospital de </w:t>
      </w:r>
      <w:proofErr w:type="spellStart"/>
      <w:r>
        <w:rPr>
          <w:rFonts w:ascii="Calibri" w:eastAsia="Calibri" w:hAnsi="Calibri" w:cs="Calibri"/>
          <w:i/>
          <w:sz w:val="10"/>
          <w:szCs w:val="10"/>
        </w:rPr>
        <w:t>Niños</w:t>
      </w:r>
      <w:proofErr w:type="spellEnd"/>
      <w:r>
        <w:rPr>
          <w:rFonts w:ascii="Calibri" w:eastAsia="Calibri" w:hAnsi="Calibri" w:cs="Calibri"/>
          <w:i/>
          <w:sz w:val="10"/>
          <w:szCs w:val="10"/>
        </w:rPr>
        <w:t xml:space="preserve"> Ricardo Gutiérrez, Buenos Aires, Argentina, </w:t>
      </w:r>
      <w:r>
        <w:rPr>
          <w:rFonts w:ascii="Calibri" w:eastAsia="Calibri" w:hAnsi="Calibri" w:cs="Calibri"/>
          <w:i/>
          <w:sz w:val="10"/>
          <w:szCs w:val="10"/>
          <w:vertAlign w:val="superscript"/>
        </w:rPr>
        <w:t>17</w:t>
      </w:r>
      <w:r>
        <w:rPr>
          <w:rFonts w:ascii="Calibri" w:eastAsia="Calibri" w:hAnsi="Calibri" w:cs="Calibri"/>
          <w:i/>
          <w:sz w:val="10"/>
          <w:szCs w:val="10"/>
        </w:rPr>
        <w:t xml:space="preserve"> </w:t>
      </w:r>
      <w:proofErr w:type="spellStart"/>
      <w:r>
        <w:rPr>
          <w:rFonts w:ascii="Calibri" w:eastAsia="Calibri" w:hAnsi="Calibri" w:cs="Calibri"/>
          <w:i/>
          <w:sz w:val="10"/>
          <w:szCs w:val="10"/>
        </w:rPr>
        <w:t>Sección</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Endocrinología</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Pediátrica</w:t>
      </w:r>
      <w:proofErr w:type="spellEnd"/>
      <w:r>
        <w:rPr>
          <w:rFonts w:ascii="Calibri" w:eastAsia="Calibri" w:hAnsi="Calibri" w:cs="Calibri"/>
          <w:i/>
          <w:sz w:val="10"/>
          <w:szCs w:val="10"/>
        </w:rPr>
        <w:t xml:space="preserve">, Hospital Italiano de Buenos Aires, </w:t>
      </w:r>
      <w:r>
        <w:rPr>
          <w:rFonts w:ascii="Calibri" w:eastAsia="Calibri" w:hAnsi="Calibri" w:cs="Calibri"/>
          <w:i/>
          <w:sz w:val="10"/>
          <w:szCs w:val="10"/>
          <w:vertAlign w:val="superscript"/>
        </w:rPr>
        <w:t>18</w:t>
      </w:r>
      <w:r>
        <w:rPr>
          <w:rFonts w:ascii="Calibri" w:eastAsia="Calibri" w:hAnsi="Calibri" w:cs="Calibri"/>
          <w:i/>
          <w:sz w:val="10"/>
          <w:szCs w:val="10"/>
        </w:rPr>
        <w:t xml:space="preserve"> Department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Ain Shams University, Cairo, Egypt, </w:t>
      </w:r>
      <w:r>
        <w:rPr>
          <w:rFonts w:ascii="Calibri" w:eastAsia="Calibri" w:hAnsi="Calibri" w:cs="Calibri"/>
          <w:i/>
          <w:sz w:val="10"/>
          <w:szCs w:val="10"/>
          <w:vertAlign w:val="superscript"/>
        </w:rPr>
        <w:t>19</w:t>
      </w:r>
      <w:r>
        <w:rPr>
          <w:rFonts w:ascii="Calibri" w:eastAsia="Calibri" w:hAnsi="Calibri" w:cs="Calibri"/>
          <w:i/>
          <w:sz w:val="10"/>
          <w:szCs w:val="10"/>
        </w:rPr>
        <w:t xml:space="preserve"> Clinical Genetics Department, Human Genetics and Genome Research Institute, National Research Centre, Cairo, Egypt, </w:t>
      </w:r>
      <w:r>
        <w:rPr>
          <w:rFonts w:ascii="Calibri" w:eastAsia="Calibri" w:hAnsi="Calibri" w:cs="Calibri"/>
          <w:i/>
          <w:sz w:val="10"/>
          <w:szCs w:val="10"/>
          <w:vertAlign w:val="superscript"/>
        </w:rPr>
        <w:t>20</w:t>
      </w:r>
      <w:r>
        <w:rPr>
          <w:rFonts w:ascii="Calibri" w:eastAsia="Calibri" w:hAnsi="Calibri" w:cs="Calibri"/>
          <w:i/>
          <w:sz w:val="10"/>
          <w:szCs w:val="10"/>
        </w:rPr>
        <w:t xml:space="preserve"> Department of Paediatrics, University of Cambridge, Cambridge, UK, </w:t>
      </w:r>
      <w:r>
        <w:rPr>
          <w:rFonts w:ascii="Calibri" w:eastAsia="Calibri" w:hAnsi="Calibri" w:cs="Calibri"/>
          <w:i/>
          <w:sz w:val="10"/>
          <w:szCs w:val="10"/>
          <w:vertAlign w:val="superscript"/>
        </w:rPr>
        <w:t>21</w:t>
      </w:r>
      <w:r>
        <w:rPr>
          <w:rFonts w:ascii="Calibri" w:eastAsia="Calibri" w:hAnsi="Calibri" w:cs="Calibri"/>
          <w:i/>
          <w:sz w:val="10"/>
          <w:szCs w:val="10"/>
        </w:rPr>
        <w:t xml:space="preserve"> Neuroscience and Mental Health Innovation Institute, School of Medicine, Cardiff University, UK, </w:t>
      </w:r>
      <w:r>
        <w:rPr>
          <w:rFonts w:ascii="Calibri" w:eastAsia="Calibri" w:hAnsi="Calibri" w:cs="Calibri"/>
          <w:i/>
          <w:sz w:val="10"/>
          <w:szCs w:val="10"/>
          <w:vertAlign w:val="superscript"/>
        </w:rPr>
        <w:t>22</w:t>
      </w:r>
      <w:r>
        <w:rPr>
          <w:rFonts w:ascii="Calibri" w:eastAsia="Calibri" w:hAnsi="Calibri" w:cs="Calibri"/>
          <w:i/>
          <w:sz w:val="10"/>
          <w:szCs w:val="10"/>
        </w:rPr>
        <w:t xml:space="preserve"> Endocrinology, Lady Ridgeway Hospital for Children, Colombo, Sri Lanka, </w:t>
      </w:r>
      <w:r>
        <w:rPr>
          <w:rFonts w:ascii="Calibri" w:eastAsia="Calibri" w:hAnsi="Calibri" w:cs="Calibri"/>
          <w:i/>
          <w:sz w:val="10"/>
          <w:szCs w:val="10"/>
          <w:vertAlign w:val="superscript"/>
        </w:rPr>
        <w:t>23</w:t>
      </w:r>
      <w:r>
        <w:rPr>
          <w:rFonts w:ascii="Calibri" w:eastAsia="Calibri" w:hAnsi="Calibri" w:cs="Calibri"/>
          <w:i/>
          <w:sz w:val="10"/>
          <w:szCs w:val="10"/>
        </w:rPr>
        <w:t xml:space="preserve"> Department of Paediatrics, Faculty of Medicine, University of Colombo, Colombo, Sri Lanka, </w:t>
      </w:r>
      <w:r>
        <w:rPr>
          <w:rFonts w:ascii="Calibri" w:eastAsia="Calibri" w:hAnsi="Calibri" w:cs="Calibri"/>
          <w:i/>
          <w:sz w:val="10"/>
          <w:szCs w:val="10"/>
          <w:vertAlign w:val="superscript"/>
        </w:rPr>
        <w:t>24</w:t>
      </w:r>
      <w:r>
        <w:rPr>
          <w:rFonts w:ascii="Calibri" w:eastAsia="Calibri" w:hAnsi="Calibri" w:cs="Calibri"/>
          <w:i/>
          <w:sz w:val="10"/>
          <w:szCs w:val="10"/>
        </w:rPr>
        <w:t xml:space="preserve"> Department of Internal Medicine and Paediatrics, Ghent University, and Department of Paediatric Endocrinology, Ghent University Hospital, Ghent, Belgium, </w:t>
      </w:r>
      <w:r>
        <w:rPr>
          <w:rFonts w:ascii="Calibri" w:eastAsia="Calibri" w:hAnsi="Calibri" w:cs="Calibri"/>
          <w:i/>
          <w:sz w:val="10"/>
          <w:szCs w:val="10"/>
          <w:vertAlign w:val="superscript"/>
        </w:rPr>
        <w:t>25</w:t>
      </w:r>
      <w:r>
        <w:rPr>
          <w:rFonts w:ascii="Calibri" w:eastAsia="Calibri" w:hAnsi="Calibri" w:cs="Calibri"/>
          <w:i/>
          <w:sz w:val="10"/>
          <w:szCs w:val="10"/>
        </w:rPr>
        <w:t xml:space="preserve"> Emeritus Professor of Health Science University, İstanbul, Turkey </w:t>
      </w:r>
      <w:r>
        <w:rPr>
          <w:rFonts w:ascii="Calibri" w:eastAsia="Calibri" w:hAnsi="Calibri" w:cs="Calibri"/>
          <w:i/>
          <w:sz w:val="10"/>
          <w:szCs w:val="10"/>
          <w:vertAlign w:val="superscript"/>
        </w:rPr>
        <w:t>26</w:t>
      </w:r>
      <w:r>
        <w:rPr>
          <w:rFonts w:ascii="Calibri" w:eastAsia="Calibri" w:hAnsi="Calibri" w:cs="Calibri"/>
          <w:i/>
          <w:sz w:val="10"/>
          <w:szCs w:val="10"/>
        </w:rPr>
        <w:t xml:space="preserve"> Istanbul Faculty of Medicine,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Unit, Istanbul University, Istanbul, Turkey, </w:t>
      </w:r>
      <w:r>
        <w:rPr>
          <w:rFonts w:ascii="Calibri" w:eastAsia="Calibri" w:hAnsi="Calibri" w:cs="Calibri"/>
          <w:i/>
          <w:sz w:val="10"/>
          <w:szCs w:val="10"/>
          <w:vertAlign w:val="superscript"/>
        </w:rPr>
        <w:t>27</w:t>
      </w:r>
      <w:r>
        <w:rPr>
          <w:rFonts w:ascii="Calibri" w:eastAsia="Calibri" w:hAnsi="Calibri" w:cs="Calibri"/>
          <w:i/>
          <w:sz w:val="10"/>
          <w:szCs w:val="10"/>
        </w:rPr>
        <w:t xml:space="preserve"> Department of Paediatrics, Princess Margaret Hospital, Kowloon, Hong Kong, </w:t>
      </w:r>
      <w:r>
        <w:rPr>
          <w:rFonts w:ascii="Calibri" w:eastAsia="Calibri" w:hAnsi="Calibri" w:cs="Calibri"/>
          <w:i/>
          <w:sz w:val="10"/>
          <w:szCs w:val="10"/>
          <w:vertAlign w:val="superscript"/>
        </w:rPr>
        <w:t>28</w:t>
      </w:r>
      <w:r>
        <w:rPr>
          <w:rFonts w:ascii="Calibri" w:eastAsia="Calibri" w:hAnsi="Calibri" w:cs="Calibri"/>
          <w:i/>
          <w:sz w:val="10"/>
          <w:szCs w:val="10"/>
        </w:rPr>
        <w:t xml:space="preserve"> Department of Paediatric and Adolescent Endocrinology, University Children's Hospital, Jagiellonian University, Krakow, Poland. dominika.janus@uj.edu.pl, </w:t>
      </w:r>
      <w:r>
        <w:rPr>
          <w:rFonts w:ascii="Calibri" w:eastAsia="Calibri" w:hAnsi="Calibri" w:cs="Calibri"/>
          <w:i/>
          <w:sz w:val="10"/>
          <w:szCs w:val="10"/>
          <w:vertAlign w:val="superscript"/>
        </w:rPr>
        <w:t>29</w:t>
      </w:r>
      <w:r>
        <w:rPr>
          <w:rFonts w:ascii="Calibri" w:eastAsia="Calibri" w:hAnsi="Calibri" w:cs="Calibri"/>
          <w:i/>
          <w:sz w:val="10"/>
          <w:szCs w:val="10"/>
        </w:rPr>
        <w:t xml:space="preserve"> Ukrainian Research Centre of Endocrine Surgery, Endocrine Organs and Tissue Transplantation, MoH of Ukraine, </w:t>
      </w:r>
      <w:r>
        <w:rPr>
          <w:rFonts w:ascii="Calibri" w:eastAsia="Calibri" w:hAnsi="Calibri" w:cs="Calibri"/>
          <w:i/>
          <w:sz w:val="10"/>
          <w:szCs w:val="10"/>
          <w:vertAlign w:val="superscript"/>
        </w:rPr>
        <w:t>30</w:t>
      </w:r>
      <w:r>
        <w:rPr>
          <w:rFonts w:ascii="Calibri" w:eastAsia="Calibri" w:hAnsi="Calibri" w:cs="Calibri"/>
          <w:i/>
          <w:sz w:val="10"/>
          <w:szCs w:val="10"/>
        </w:rPr>
        <w:t xml:space="preserve"> Department of General Paediatrics and Endocrinology, Leicester Children's Hospital, University Hospitals of Leicester NHS Trust, Leicester, UK, </w:t>
      </w:r>
      <w:r>
        <w:rPr>
          <w:rFonts w:ascii="Calibri" w:eastAsia="Calibri" w:hAnsi="Calibri" w:cs="Calibri"/>
          <w:i/>
          <w:sz w:val="10"/>
          <w:szCs w:val="10"/>
          <w:vertAlign w:val="superscript"/>
        </w:rPr>
        <w:t>31</w:t>
      </w:r>
      <w:r>
        <w:rPr>
          <w:rFonts w:ascii="Calibri" w:eastAsia="Calibri" w:hAnsi="Calibri" w:cs="Calibri"/>
          <w:i/>
          <w:sz w:val="10"/>
          <w:szCs w:val="10"/>
        </w:rPr>
        <w:t xml:space="preserve"> Division of Endocrinology, Department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Willem-Alexander Children's Hospital, Leiden University Medical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Leiden, the Netherlands, </w:t>
      </w:r>
      <w:r>
        <w:rPr>
          <w:rFonts w:ascii="Calibri" w:eastAsia="Calibri" w:hAnsi="Calibri" w:cs="Calibri"/>
          <w:i/>
          <w:sz w:val="10"/>
          <w:szCs w:val="10"/>
          <w:vertAlign w:val="superscript"/>
        </w:rPr>
        <w:t>32</w:t>
      </w:r>
      <w:r>
        <w:rPr>
          <w:rFonts w:ascii="Calibri" w:eastAsia="Calibri" w:hAnsi="Calibri" w:cs="Calibri"/>
          <w:i/>
          <w:sz w:val="10"/>
          <w:szCs w:val="10"/>
        </w:rPr>
        <w:t xml:space="preserve"> Centre for Endocrinology, William Harvey Research Institute, Barts and the London School of Medicine and Dentistry, Queen Mary University of London, UK, </w:t>
      </w:r>
      <w:r>
        <w:rPr>
          <w:rFonts w:ascii="Calibri" w:eastAsia="Calibri" w:hAnsi="Calibri" w:cs="Calibri"/>
          <w:i/>
          <w:sz w:val="10"/>
          <w:szCs w:val="10"/>
          <w:vertAlign w:val="superscript"/>
        </w:rPr>
        <w:t>33</w:t>
      </w:r>
      <w:r>
        <w:rPr>
          <w:rFonts w:ascii="Calibri" w:eastAsia="Calibri" w:hAnsi="Calibri" w:cs="Calibri"/>
          <w:i/>
          <w:sz w:val="10"/>
          <w:szCs w:val="10"/>
        </w:rPr>
        <w:t xml:space="preserve"> Department of Endocrinology, The Christie Hospital NHS Foundation Trust, Manchester, UK./Manchester Academic Health Science Centre, Manchester, UK/Faculty of Biology, Medicine and Health, The University of Manchester, Manchester, UK, </w:t>
      </w:r>
      <w:r>
        <w:rPr>
          <w:rFonts w:ascii="Calibri" w:eastAsia="Calibri" w:hAnsi="Calibri" w:cs="Calibri"/>
          <w:i/>
          <w:sz w:val="10"/>
          <w:szCs w:val="10"/>
          <w:vertAlign w:val="superscript"/>
        </w:rPr>
        <w:t>34</w:t>
      </w:r>
      <w:r>
        <w:rPr>
          <w:rFonts w:ascii="Calibri" w:eastAsia="Calibri" w:hAnsi="Calibri" w:cs="Calibri"/>
          <w:i/>
          <w:sz w:val="10"/>
          <w:szCs w:val="10"/>
        </w:rPr>
        <w:t xml:space="preserve"> Unit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Department of Human Pathology of Adulthood and Childhood, University of Messina, Messina, Italy, </w:t>
      </w:r>
      <w:r>
        <w:rPr>
          <w:rFonts w:ascii="Calibri" w:eastAsia="Calibri" w:hAnsi="Calibri" w:cs="Calibri"/>
          <w:i/>
          <w:sz w:val="10"/>
          <w:szCs w:val="10"/>
          <w:vertAlign w:val="superscript"/>
        </w:rPr>
        <w:t>35</w:t>
      </w:r>
      <w:r>
        <w:rPr>
          <w:rFonts w:ascii="Calibri" w:eastAsia="Calibri" w:hAnsi="Calibri" w:cs="Calibri"/>
          <w:i/>
          <w:sz w:val="10"/>
          <w:szCs w:val="10"/>
        </w:rPr>
        <w:t xml:space="preserve"> IRCCS Ospedale San Raffaele, Milan Italy, </w:t>
      </w:r>
      <w:r>
        <w:rPr>
          <w:rFonts w:ascii="Calibri" w:eastAsia="Calibri" w:hAnsi="Calibri" w:cs="Calibri"/>
          <w:i/>
          <w:sz w:val="10"/>
          <w:szCs w:val="10"/>
          <w:vertAlign w:val="superscript"/>
        </w:rPr>
        <w:t>36</w:t>
      </w:r>
      <w:r>
        <w:rPr>
          <w:rFonts w:ascii="Calibri" w:eastAsia="Calibri" w:hAnsi="Calibri" w:cs="Calibri"/>
          <w:i/>
          <w:sz w:val="10"/>
          <w:szCs w:val="10"/>
        </w:rPr>
        <w:t xml:space="preserv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Endocrinologist, </w:t>
      </w:r>
      <w:proofErr w:type="spellStart"/>
      <w:r>
        <w:rPr>
          <w:rFonts w:ascii="Calibri" w:eastAsia="Calibri" w:hAnsi="Calibri" w:cs="Calibri"/>
          <w:i/>
          <w:sz w:val="10"/>
          <w:szCs w:val="10"/>
        </w:rPr>
        <w:t>Hôpital</w:t>
      </w:r>
      <w:proofErr w:type="spellEnd"/>
      <w:r>
        <w:rPr>
          <w:rFonts w:ascii="Calibri" w:eastAsia="Calibri" w:hAnsi="Calibri" w:cs="Calibri"/>
          <w:i/>
          <w:sz w:val="10"/>
          <w:szCs w:val="10"/>
        </w:rPr>
        <w:t xml:space="preserve"> de </w:t>
      </w:r>
      <w:proofErr w:type="spellStart"/>
      <w:r>
        <w:rPr>
          <w:rFonts w:ascii="Calibri" w:eastAsia="Calibri" w:hAnsi="Calibri" w:cs="Calibri"/>
          <w:i/>
          <w:sz w:val="10"/>
          <w:szCs w:val="10"/>
        </w:rPr>
        <w:t>Morges</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Morges</w:t>
      </w:r>
      <w:proofErr w:type="spellEnd"/>
      <w:r>
        <w:rPr>
          <w:rFonts w:ascii="Calibri" w:eastAsia="Calibri" w:hAnsi="Calibri" w:cs="Calibri"/>
          <w:i/>
          <w:sz w:val="10"/>
          <w:szCs w:val="10"/>
        </w:rPr>
        <w:t xml:space="preserve">, Switzerland, </w:t>
      </w:r>
      <w:r>
        <w:rPr>
          <w:rFonts w:ascii="Calibri" w:eastAsia="Calibri" w:hAnsi="Calibri" w:cs="Calibri"/>
          <w:i/>
          <w:sz w:val="10"/>
          <w:szCs w:val="10"/>
          <w:vertAlign w:val="superscript"/>
        </w:rPr>
        <w:t>37</w:t>
      </w:r>
      <w:r>
        <w:rPr>
          <w:rFonts w:ascii="Calibri" w:eastAsia="Calibri" w:hAnsi="Calibri" w:cs="Calibri"/>
          <w:i/>
          <w:sz w:val="10"/>
          <w:szCs w:val="10"/>
        </w:rPr>
        <w:t xml:space="preserve"> Service of Endocrinology, Diabetology, and Metabolism, Lausanne University Hospital, Lausanne, Switzerland, </w:t>
      </w:r>
      <w:r>
        <w:rPr>
          <w:rFonts w:ascii="Calibri" w:eastAsia="Calibri" w:hAnsi="Calibri" w:cs="Calibri"/>
          <w:i/>
          <w:sz w:val="10"/>
          <w:szCs w:val="10"/>
          <w:vertAlign w:val="superscript"/>
        </w:rPr>
        <w:t>38</w:t>
      </w:r>
      <w:r>
        <w:rPr>
          <w:rFonts w:ascii="Calibri" w:eastAsia="Calibri" w:hAnsi="Calibri" w:cs="Calibri"/>
          <w:i/>
          <w:sz w:val="10"/>
          <w:szCs w:val="10"/>
        </w:rPr>
        <w:t xml:space="preserve"> Department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Technical University of Munich, TUM School of Medicine, 80804 Munich, Germany, </w:t>
      </w:r>
      <w:r>
        <w:rPr>
          <w:rFonts w:ascii="Calibri" w:eastAsia="Calibri" w:hAnsi="Calibri" w:cs="Calibri"/>
          <w:i/>
          <w:sz w:val="10"/>
          <w:szCs w:val="10"/>
          <w:vertAlign w:val="superscript"/>
        </w:rPr>
        <w:t>39</w:t>
      </w:r>
      <w:r>
        <w:rPr>
          <w:rFonts w:ascii="Calibri" w:eastAsia="Calibri" w:hAnsi="Calibri" w:cs="Calibri"/>
          <w:i/>
          <w:sz w:val="10"/>
          <w:szCs w:val="10"/>
        </w:rPr>
        <w:t xml:space="preserve"> Department of Translational Medical Sciences, Paediatric Endocrinology Unit, University of Naples 'Federico II', Naples, Italy, </w:t>
      </w:r>
      <w:r>
        <w:rPr>
          <w:rFonts w:ascii="Calibri" w:eastAsia="Calibri" w:hAnsi="Calibri" w:cs="Calibri"/>
          <w:i/>
          <w:sz w:val="10"/>
          <w:szCs w:val="10"/>
          <w:vertAlign w:val="superscript"/>
        </w:rPr>
        <w:t>40</w:t>
      </w:r>
      <w:r>
        <w:rPr>
          <w:rFonts w:ascii="Calibri" w:eastAsia="Calibri" w:hAnsi="Calibri" w:cs="Calibri"/>
          <w:i/>
          <w:sz w:val="10"/>
          <w:szCs w:val="10"/>
        </w:rPr>
        <w:t xml:space="preserve"> Oxford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for Diabetes, Endocrinology and Metabolism, University of Oxford, Oxford, UK jeremy.tomlinson@ocdem.ox.ac.uk, </w:t>
      </w:r>
      <w:r>
        <w:rPr>
          <w:rFonts w:ascii="Calibri" w:eastAsia="Calibri" w:hAnsi="Calibri" w:cs="Calibri"/>
          <w:i/>
          <w:sz w:val="10"/>
          <w:szCs w:val="10"/>
          <w:vertAlign w:val="superscript"/>
        </w:rPr>
        <w:t>41</w:t>
      </w:r>
      <w:r>
        <w:rPr>
          <w:rFonts w:ascii="Calibri" w:eastAsia="Calibri" w:hAnsi="Calibri" w:cs="Calibri"/>
          <w:i/>
          <w:sz w:val="10"/>
          <w:szCs w:val="10"/>
        </w:rPr>
        <w:t xml:space="preserve"> Department of Endocrinology-Growth and Development, 'P &amp; A Kyriakou' Children's Hospital, Athens, Greece, </w:t>
      </w:r>
      <w:r>
        <w:rPr>
          <w:rFonts w:ascii="Calibri" w:eastAsia="Calibri" w:hAnsi="Calibri" w:cs="Calibri"/>
          <w:i/>
          <w:sz w:val="10"/>
          <w:szCs w:val="10"/>
          <w:vertAlign w:val="superscript"/>
        </w:rPr>
        <w:t>42</w:t>
      </w:r>
      <w:r>
        <w:rPr>
          <w:rFonts w:ascii="Calibri" w:eastAsia="Calibri" w:hAnsi="Calibri" w:cs="Calibri"/>
          <w:i/>
          <w:sz w:val="10"/>
          <w:szCs w:val="10"/>
        </w:rPr>
        <w:t xml:space="preserve"> The Jesse Z and Sara Lea Shafer Institute for Endocrinology and Diabetes, National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for Childhood Diabetes, Schneider Children's Medical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of Israel, Petah Tikva, Israel; Sackler Faculty of Medicine, Tel Aviv University, Tel Aviv, Israel. Electronic address: liatdevries@gmail.com, </w:t>
      </w:r>
      <w:r>
        <w:rPr>
          <w:rFonts w:ascii="Calibri" w:eastAsia="Calibri" w:hAnsi="Calibri" w:cs="Calibri"/>
          <w:i/>
          <w:sz w:val="10"/>
          <w:szCs w:val="10"/>
          <w:vertAlign w:val="superscript"/>
        </w:rPr>
        <w:t>43</w:t>
      </w:r>
      <w:r>
        <w:rPr>
          <w:rFonts w:ascii="Calibri" w:eastAsia="Calibri" w:hAnsi="Calibri" w:cs="Calibri"/>
          <w:i/>
          <w:sz w:val="10"/>
          <w:szCs w:val="10"/>
        </w:rPr>
        <w:t xml:space="preserve"> Endocrinology Unit, Paediatrics Department, University of Port Harcourt Teaching Hospital, Port Harcourt, Nigeria, </w:t>
      </w:r>
      <w:r>
        <w:rPr>
          <w:rFonts w:ascii="Calibri" w:eastAsia="Calibri" w:hAnsi="Calibri" w:cs="Calibri"/>
          <w:i/>
          <w:sz w:val="10"/>
          <w:szCs w:val="10"/>
          <w:vertAlign w:val="superscript"/>
        </w:rPr>
        <w:t>44</w:t>
      </w:r>
      <w:r>
        <w:rPr>
          <w:rFonts w:ascii="Calibri" w:eastAsia="Calibri" w:hAnsi="Calibri" w:cs="Calibri"/>
          <w:i/>
          <w:sz w:val="10"/>
          <w:szCs w:val="10"/>
        </w:rPr>
        <w:t xml:space="preserve"> </w:t>
      </w:r>
      <w:proofErr w:type="spellStart"/>
      <w:r>
        <w:rPr>
          <w:rFonts w:ascii="Calibri" w:eastAsia="Calibri" w:hAnsi="Calibri" w:cs="Calibri"/>
          <w:i/>
          <w:sz w:val="10"/>
          <w:szCs w:val="10"/>
        </w:rPr>
        <w:t>Universidade</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Feberal</w:t>
      </w:r>
      <w:proofErr w:type="spellEnd"/>
      <w:r>
        <w:rPr>
          <w:rFonts w:ascii="Calibri" w:eastAsia="Calibri" w:hAnsi="Calibri" w:cs="Calibri"/>
          <w:i/>
          <w:sz w:val="10"/>
          <w:szCs w:val="10"/>
        </w:rPr>
        <w:t xml:space="preserve"> do Rio Grande dol Sul (UFRDS), Porto Alegre, Brazil, </w:t>
      </w:r>
      <w:r>
        <w:rPr>
          <w:rFonts w:ascii="Calibri" w:eastAsia="Calibri" w:hAnsi="Calibri" w:cs="Calibri"/>
          <w:i/>
          <w:sz w:val="10"/>
          <w:szCs w:val="10"/>
          <w:vertAlign w:val="superscript"/>
        </w:rPr>
        <w:t>45</w:t>
      </w:r>
      <w:r>
        <w:rPr>
          <w:rFonts w:ascii="Calibri" w:eastAsia="Calibri" w:hAnsi="Calibri" w:cs="Calibri"/>
          <w:i/>
          <w:sz w:val="10"/>
          <w:szCs w:val="10"/>
        </w:rPr>
        <w:t xml:space="preserve"> Department of </w:t>
      </w:r>
      <w:proofErr w:type="spellStart"/>
      <w:r>
        <w:rPr>
          <w:rFonts w:ascii="Calibri" w:eastAsia="Calibri" w:hAnsi="Calibri" w:cs="Calibri"/>
          <w:i/>
          <w:sz w:val="10"/>
          <w:szCs w:val="10"/>
        </w:rPr>
        <w:t>Pediatrics</w:t>
      </w:r>
      <w:proofErr w:type="spellEnd"/>
      <w:r>
        <w:rPr>
          <w:rFonts w:ascii="Calibri" w:eastAsia="Calibri" w:hAnsi="Calibri" w:cs="Calibri"/>
          <w:i/>
          <w:sz w:val="10"/>
          <w:szCs w:val="10"/>
        </w:rPr>
        <w:t xml:space="preserve">, div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Erasmus MC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of expertise for DSD, Erasmus Medical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-Sophia Children's Hospital, Rotterdam, Netherlands, </w:t>
      </w:r>
      <w:r>
        <w:rPr>
          <w:rFonts w:ascii="Calibri" w:eastAsia="Calibri" w:hAnsi="Calibri" w:cs="Calibri"/>
          <w:i/>
          <w:sz w:val="10"/>
          <w:szCs w:val="10"/>
          <w:vertAlign w:val="superscript"/>
        </w:rPr>
        <w:t>46</w:t>
      </w:r>
      <w:r>
        <w:rPr>
          <w:rFonts w:ascii="Calibri" w:eastAsia="Calibri" w:hAnsi="Calibri" w:cs="Calibri"/>
          <w:i/>
          <w:sz w:val="10"/>
          <w:szCs w:val="10"/>
        </w:rPr>
        <w:t xml:space="preserve"> </w:t>
      </w:r>
      <w:proofErr w:type="spellStart"/>
      <w:r>
        <w:rPr>
          <w:rFonts w:ascii="Calibri" w:eastAsia="Calibri" w:hAnsi="Calibri" w:cs="Calibri"/>
          <w:i/>
          <w:sz w:val="10"/>
          <w:szCs w:val="10"/>
        </w:rPr>
        <w:t>Unidade</w:t>
      </w:r>
      <w:proofErr w:type="spellEnd"/>
      <w:r>
        <w:rPr>
          <w:rFonts w:ascii="Calibri" w:eastAsia="Calibri" w:hAnsi="Calibri" w:cs="Calibri"/>
          <w:i/>
          <w:sz w:val="10"/>
          <w:szCs w:val="10"/>
        </w:rPr>
        <w:t xml:space="preserve"> de </w:t>
      </w:r>
      <w:proofErr w:type="spellStart"/>
      <w:r>
        <w:rPr>
          <w:rFonts w:ascii="Calibri" w:eastAsia="Calibri" w:hAnsi="Calibri" w:cs="Calibri"/>
          <w:i/>
          <w:sz w:val="10"/>
          <w:szCs w:val="10"/>
        </w:rPr>
        <w:t>Endocrinologia</w:t>
      </w:r>
      <w:proofErr w:type="spellEnd"/>
      <w:r>
        <w:rPr>
          <w:rFonts w:ascii="Calibri" w:eastAsia="Calibri" w:hAnsi="Calibri" w:cs="Calibri"/>
          <w:i/>
          <w:sz w:val="10"/>
          <w:szCs w:val="10"/>
        </w:rPr>
        <w:t xml:space="preserve"> do </w:t>
      </w:r>
      <w:proofErr w:type="spellStart"/>
      <w:r>
        <w:rPr>
          <w:rFonts w:ascii="Calibri" w:eastAsia="Calibri" w:hAnsi="Calibri" w:cs="Calibri"/>
          <w:i/>
          <w:sz w:val="10"/>
          <w:szCs w:val="10"/>
        </w:rPr>
        <w:t>Desenvolvimento</w:t>
      </w:r>
      <w:proofErr w:type="spellEnd"/>
      <w:r>
        <w:rPr>
          <w:rFonts w:ascii="Calibri" w:eastAsia="Calibri" w:hAnsi="Calibri" w:cs="Calibri"/>
          <w:i/>
          <w:sz w:val="10"/>
          <w:szCs w:val="10"/>
        </w:rPr>
        <w:t xml:space="preserve">, </w:t>
      </w:r>
      <w:proofErr w:type="spellStart"/>
      <w:r>
        <w:rPr>
          <w:rFonts w:ascii="Calibri" w:eastAsia="Calibri" w:hAnsi="Calibri" w:cs="Calibri"/>
          <w:i/>
          <w:sz w:val="10"/>
          <w:szCs w:val="10"/>
        </w:rPr>
        <w:t>Laboratório</w:t>
      </w:r>
      <w:proofErr w:type="spellEnd"/>
      <w:r>
        <w:rPr>
          <w:rFonts w:ascii="Calibri" w:eastAsia="Calibri" w:hAnsi="Calibri" w:cs="Calibri"/>
          <w:i/>
          <w:sz w:val="10"/>
          <w:szCs w:val="10"/>
        </w:rPr>
        <w:t xml:space="preserve"> de </w:t>
      </w:r>
      <w:proofErr w:type="spellStart"/>
      <w:r>
        <w:rPr>
          <w:rFonts w:ascii="Calibri" w:eastAsia="Calibri" w:hAnsi="Calibri" w:cs="Calibri"/>
          <w:i/>
          <w:sz w:val="10"/>
          <w:szCs w:val="10"/>
        </w:rPr>
        <w:t>Hormônios</w:t>
      </w:r>
      <w:proofErr w:type="spellEnd"/>
      <w:r>
        <w:rPr>
          <w:rFonts w:ascii="Calibri" w:eastAsia="Calibri" w:hAnsi="Calibri" w:cs="Calibri"/>
          <w:i/>
          <w:sz w:val="10"/>
          <w:szCs w:val="10"/>
        </w:rPr>
        <w:t xml:space="preserve"> e </w:t>
      </w:r>
      <w:proofErr w:type="spellStart"/>
      <w:r>
        <w:rPr>
          <w:rFonts w:ascii="Calibri" w:eastAsia="Calibri" w:hAnsi="Calibri" w:cs="Calibri"/>
          <w:i/>
          <w:sz w:val="10"/>
          <w:szCs w:val="10"/>
        </w:rPr>
        <w:t>Genética</w:t>
      </w:r>
      <w:proofErr w:type="spellEnd"/>
      <w:r>
        <w:rPr>
          <w:rFonts w:ascii="Calibri" w:eastAsia="Calibri" w:hAnsi="Calibri" w:cs="Calibri"/>
          <w:i/>
          <w:sz w:val="10"/>
          <w:szCs w:val="10"/>
        </w:rPr>
        <w:t xml:space="preserve"> Molecular/LIM42, </w:t>
      </w:r>
      <w:proofErr w:type="spellStart"/>
      <w:r>
        <w:rPr>
          <w:rFonts w:ascii="Calibri" w:eastAsia="Calibri" w:hAnsi="Calibri" w:cs="Calibri"/>
          <w:i/>
          <w:sz w:val="10"/>
          <w:szCs w:val="10"/>
        </w:rPr>
        <w:t>Disciplina</w:t>
      </w:r>
      <w:proofErr w:type="spellEnd"/>
      <w:r>
        <w:rPr>
          <w:rFonts w:ascii="Calibri" w:eastAsia="Calibri" w:hAnsi="Calibri" w:cs="Calibri"/>
          <w:i/>
          <w:sz w:val="10"/>
          <w:szCs w:val="10"/>
        </w:rPr>
        <w:t xml:space="preserve"> de </w:t>
      </w:r>
      <w:proofErr w:type="spellStart"/>
      <w:r>
        <w:rPr>
          <w:rFonts w:ascii="Calibri" w:eastAsia="Calibri" w:hAnsi="Calibri" w:cs="Calibri"/>
          <w:i/>
          <w:sz w:val="10"/>
          <w:szCs w:val="10"/>
        </w:rPr>
        <w:t>Endocrinologia</w:t>
      </w:r>
      <w:proofErr w:type="spellEnd"/>
      <w:r>
        <w:rPr>
          <w:rFonts w:ascii="Calibri" w:eastAsia="Calibri" w:hAnsi="Calibri" w:cs="Calibri"/>
          <w:i/>
          <w:sz w:val="10"/>
          <w:szCs w:val="10"/>
        </w:rPr>
        <w:t xml:space="preserve">, Hospital Das Clinicas, </w:t>
      </w:r>
      <w:proofErr w:type="spellStart"/>
      <w:r>
        <w:rPr>
          <w:rFonts w:ascii="Calibri" w:eastAsia="Calibri" w:hAnsi="Calibri" w:cs="Calibri"/>
          <w:i/>
          <w:sz w:val="10"/>
          <w:szCs w:val="10"/>
        </w:rPr>
        <w:t>Faculdade</w:t>
      </w:r>
      <w:proofErr w:type="spellEnd"/>
      <w:r>
        <w:rPr>
          <w:rFonts w:ascii="Calibri" w:eastAsia="Calibri" w:hAnsi="Calibri" w:cs="Calibri"/>
          <w:i/>
          <w:sz w:val="10"/>
          <w:szCs w:val="10"/>
        </w:rPr>
        <w:t xml:space="preserve"> De Medicina, </w:t>
      </w:r>
      <w:proofErr w:type="spellStart"/>
      <w:r>
        <w:rPr>
          <w:rFonts w:ascii="Calibri" w:eastAsia="Calibri" w:hAnsi="Calibri" w:cs="Calibri"/>
          <w:i/>
          <w:sz w:val="10"/>
          <w:szCs w:val="10"/>
        </w:rPr>
        <w:t>Universidade</w:t>
      </w:r>
      <w:proofErr w:type="spellEnd"/>
      <w:r>
        <w:rPr>
          <w:rFonts w:ascii="Calibri" w:eastAsia="Calibri" w:hAnsi="Calibri" w:cs="Calibri"/>
          <w:i/>
          <w:sz w:val="10"/>
          <w:szCs w:val="10"/>
        </w:rPr>
        <w:t xml:space="preserve"> de Sao Paulo, São Paulo, Brazil, </w:t>
      </w:r>
      <w:r>
        <w:rPr>
          <w:rFonts w:ascii="Calibri" w:eastAsia="Calibri" w:hAnsi="Calibri" w:cs="Calibri"/>
          <w:i/>
          <w:sz w:val="10"/>
          <w:szCs w:val="10"/>
          <w:vertAlign w:val="superscript"/>
        </w:rPr>
        <w:t>47</w:t>
      </w:r>
      <w:r>
        <w:rPr>
          <w:rFonts w:ascii="Calibri" w:eastAsia="Calibri" w:hAnsi="Calibri" w:cs="Calibri"/>
          <w:i/>
          <w:sz w:val="10"/>
          <w:szCs w:val="10"/>
        </w:rPr>
        <w:t xml:space="preserve"> Department of Oncology and Metabolism, University of Sheffield, Sheffield, UK, </w:t>
      </w:r>
      <w:r>
        <w:rPr>
          <w:rFonts w:ascii="Calibri" w:eastAsia="Calibri" w:hAnsi="Calibri" w:cs="Calibri"/>
          <w:i/>
          <w:sz w:val="10"/>
          <w:szCs w:val="10"/>
          <w:vertAlign w:val="superscript"/>
        </w:rPr>
        <w:t>48</w:t>
      </w:r>
      <w:r>
        <w:rPr>
          <w:rFonts w:ascii="Calibri" w:eastAsia="Calibri" w:hAnsi="Calibri" w:cs="Calibri"/>
          <w:i/>
          <w:sz w:val="10"/>
          <w:szCs w:val="10"/>
        </w:rPr>
        <w:t xml:space="preserve"> Department of Endocrinology, Sheffield Teaching Hospitals NHS Foundation Trust, Sheffield, UK, </w:t>
      </w:r>
      <w:r>
        <w:rPr>
          <w:rFonts w:ascii="Calibri" w:eastAsia="Calibri" w:hAnsi="Calibri" w:cs="Calibri"/>
          <w:i/>
          <w:sz w:val="10"/>
          <w:szCs w:val="10"/>
          <w:vertAlign w:val="superscript"/>
        </w:rPr>
        <w:t>49</w:t>
      </w:r>
      <w:r>
        <w:rPr>
          <w:rFonts w:ascii="Calibri" w:eastAsia="Calibri" w:hAnsi="Calibri" w:cs="Calibri"/>
          <w:i/>
          <w:sz w:val="10"/>
          <w:szCs w:val="10"/>
        </w:rPr>
        <w:t xml:space="preserve"> Faculty of Medicine, University of Southampton, Southampton, SO16 5YA, UK/Wessex Clinical Genetics Service, University Hospital Southampton National Health Service Foundation Trust, Southampton, SO16 5YA, UK, </w:t>
      </w:r>
      <w:r>
        <w:rPr>
          <w:rFonts w:ascii="Calibri" w:eastAsia="Calibri" w:hAnsi="Calibri" w:cs="Calibri"/>
          <w:i/>
          <w:sz w:val="10"/>
          <w:szCs w:val="10"/>
          <w:vertAlign w:val="superscript"/>
        </w:rPr>
        <w:t>50</w:t>
      </w:r>
      <w:r>
        <w:rPr>
          <w:rFonts w:ascii="Calibri" w:eastAsia="Calibri" w:hAnsi="Calibri" w:cs="Calibri"/>
          <w:i/>
          <w:sz w:val="10"/>
          <w:szCs w:val="10"/>
        </w:rPr>
        <w:t xml:space="preserv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and Diabetes Unit, Dana-Dwek Children's Hospital, Tel Aviv </w:t>
      </w:r>
      <w:proofErr w:type="spellStart"/>
      <w:r>
        <w:rPr>
          <w:rFonts w:ascii="Calibri" w:eastAsia="Calibri" w:hAnsi="Calibri" w:cs="Calibri"/>
          <w:i/>
          <w:sz w:val="10"/>
          <w:szCs w:val="10"/>
        </w:rPr>
        <w:t>Sourasky</w:t>
      </w:r>
      <w:proofErr w:type="spellEnd"/>
      <w:r>
        <w:rPr>
          <w:rFonts w:ascii="Calibri" w:eastAsia="Calibri" w:hAnsi="Calibri" w:cs="Calibri"/>
          <w:i/>
          <w:sz w:val="10"/>
          <w:szCs w:val="10"/>
        </w:rPr>
        <w:t xml:space="preserve"> Medical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Tel Aviv, Israel/Sackler Faculty of Medicine, Tel Aviv University, Tel Aviv, Israel, </w:t>
      </w:r>
      <w:r>
        <w:rPr>
          <w:rFonts w:ascii="Calibri" w:eastAsia="Calibri" w:hAnsi="Calibri" w:cs="Calibri"/>
          <w:i/>
          <w:sz w:val="10"/>
          <w:szCs w:val="10"/>
          <w:vertAlign w:val="superscript"/>
        </w:rPr>
        <w:t>51</w:t>
      </w:r>
      <w:r>
        <w:rPr>
          <w:rFonts w:ascii="Calibri" w:eastAsia="Calibri" w:hAnsi="Calibri" w:cs="Calibri"/>
          <w:i/>
          <w:sz w:val="10"/>
          <w:szCs w:val="10"/>
        </w:rPr>
        <w:t xml:space="preserve"> Medical University Varna, Varna, Bulgaria, </w:t>
      </w:r>
      <w:r>
        <w:rPr>
          <w:rFonts w:ascii="Calibri" w:eastAsia="Calibri" w:hAnsi="Calibri" w:cs="Calibri"/>
          <w:i/>
          <w:sz w:val="10"/>
          <w:szCs w:val="10"/>
          <w:vertAlign w:val="superscript"/>
        </w:rPr>
        <w:t>52</w:t>
      </w:r>
      <w:r>
        <w:rPr>
          <w:rFonts w:ascii="Calibri" w:eastAsia="Calibri" w:hAnsi="Calibri" w:cs="Calibri"/>
          <w:i/>
          <w:sz w:val="10"/>
          <w:szCs w:val="10"/>
        </w:rPr>
        <w:t xml:space="preserve"> Division of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and Diabetology, University Children's Hospital, University of Zurich, CH-8032, Zurich, Switzerland/Children's Research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University Children's Hospital, University of Zurich, CH-8032, Zurich, </w:t>
      </w:r>
      <w:proofErr w:type="spellStart"/>
      <w:r>
        <w:rPr>
          <w:rFonts w:ascii="Calibri" w:eastAsia="Calibri" w:hAnsi="Calibri" w:cs="Calibri"/>
          <w:i/>
          <w:sz w:val="10"/>
          <w:szCs w:val="10"/>
        </w:rPr>
        <w:t>SwitzerlandElectronic</w:t>
      </w:r>
      <w:proofErr w:type="spellEnd"/>
      <w:r>
        <w:rPr>
          <w:rFonts w:ascii="Calibri" w:eastAsia="Calibri" w:hAnsi="Calibri" w:cs="Calibri"/>
          <w:i/>
          <w:sz w:val="10"/>
          <w:szCs w:val="10"/>
        </w:rPr>
        <w:t xml:space="preserve"> address: nina.lenherr@kispi.uzh.ch, </w:t>
      </w:r>
      <w:r>
        <w:rPr>
          <w:rFonts w:ascii="Calibri" w:eastAsia="Calibri" w:hAnsi="Calibri" w:cs="Calibri"/>
          <w:i/>
          <w:sz w:val="10"/>
          <w:szCs w:val="10"/>
          <w:vertAlign w:val="superscript"/>
        </w:rPr>
        <w:t>53</w:t>
      </w:r>
      <w:r>
        <w:rPr>
          <w:rFonts w:ascii="Calibri" w:eastAsia="Calibri" w:hAnsi="Calibri" w:cs="Calibri"/>
          <w:i/>
          <w:sz w:val="10"/>
          <w:szCs w:val="10"/>
        </w:rPr>
        <w:t xml:space="preserve"> The Ruth and Bruce Rappaport Faculty of Medicine, Technion-Israel Institute of Technology, 31096 Haifa, Israel/</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w:t>
      </w:r>
      <w:proofErr w:type="spellStart"/>
      <w:r>
        <w:rPr>
          <w:rFonts w:ascii="Calibri" w:eastAsia="Calibri" w:hAnsi="Calibri" w:cs="Calibri"/>
          <w:i/>
          <w:sz w:val="10"/>
          <w:szCs w:val="10"/>
        </w:rPr>
        <w:t>Haemek</w:t>
      </w:r>
      <w:proofErr w:type="spellEnd"/>
      <w:r>
        <w:rPr>
          <w:rFonts w:ascii="Calibri" w:eastAsia="Calibri" w:hAnsi="Calibri" w:cs="Calibri"/>
          <w:i/>
          <w:sz w:val="10"/>
          <w:szCs w:val="10"/>
        </w:rPr>
        <w:t xml:space="preserve"> Medical </w:t>
      </w:r>
      <w:proofErr w:type="spellStart"/>
      <w:r>
        <w:rPr>
          <w:rFonts w:ascii="Calibri" w:eastAsia="Calibri" w:hAnsi="Calibri" w:cs="Calibri"/>
          <w:i/>
          <w:sz w:val="10"/>
          <w:szCs w:val="10"/>
        </w:rPr>
        <w:t>Center</w:t>
      </w:r>
      <w:proofErr w:type="spellEnd"/>
      <w:r>
        <w:rPr>
          <w:rFonts w:ascii="Calibri" w:eastAsia="Calibri" w:hAnsi="Calibri" w:cs="Calibri"/>
          <w:i/>
          <w:sz w:val="10"/>
          <w:szCs w:val="10"/>
        </w:rPr>
        <w:t xml:space="preserve">, 18317 Afula, Israel, </w:t>
      </w:r>
      <w:r>
        <w:rPr>
          <w:rFonts w:ascii="Calibri" w:eastAsia="Calibri" w:hAnsi="Calibri" w:cs="Calibri"/>
          <w:i/>
          <w:sz w:val="10"/>
          <w:szCs w:val="10"/>
          <w:vertAlign w:val="superscript"/>
        </w:rPr>
        <w:t>54</w:t>
      </w:r>
      <w:r>
        <w:rPr>
          <w:rFonts w:ascii="Calibri" w:eastAsia="Calibri" w:hAnsi="Calibri" w:cs="Calibri"/>
          <w:i/>
          <w:sz w:val="10"/>
          <w:szCs w:val="10"/>
        </w:rPr>
        <w:t xml:space="preserve"> Department of Biological and Clinical Sciences, University of Turin, Turin, Italy, </w:t>
      </w:r>
      <w:r>
        <w:rPr>
          <w:rFonts w:ascii="Calibri" w:eastAsia="Calibri" w:hAnsi="Calibri" w:cs="Calibri"/>
          <w:i/>
          <w:sz w:val="10"/>
          <w:szCs w:val="10"/>
          <w:vertAlign w:val="superscript"/>
        </w:rPr>
        <w:t>55</w:t>
      </w:r>
      <w:r>
        <w:rPr>
          <w:rFonts w:ascii="Calibri" w:eastAsia="Calibri" w:hAnsi="Calibri" w:cs="Calibri"/>
          <w:i/>
          <w:sz w:val="10"/>
          <w:szCs w:val="10"/>
        </w:rPr>
        <w:t xml:space="preserv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Endocrinology Unit, Regina Margherita Children's Hospital, University of Turin, 10126 Turin, Italy, </w:t>
      </w:r>
      <w:r>
        <w:rPr>
          <w:rFonts w:ascii="Calibri" w:eastAsia="Calibri" w:hAnsi="Calibri" w:cs="Calibri"/>
          <w:i/>
          <w:sz w:val="10"/>
          <w:szCs w:val="10"/>
          <w:vertAlign w:val="superscript"/>
        </w:rPr>
        <w:t>56</w:t>
      </w:r>
      <w:r>
        <w:rPr>
          <w:rFonts w:ascii="Calibri" w:eastAsia="Calibri" w:hAnsi="Calibri" w:cs="Calibri"/>
          <w:i/>
          <w:sz w:val="10"/>
          <w:szCs w:val="10"/>
        </w:rPr>
        <w:t xml:space="preserve"> </w:t>
      </w:r>
      <w:proofErr w:type="spellStart"/>
      <w:r>
        <w:rPr>
          <w:rFonts w:ascii="Calibri" w:eastAsia="Calibri" w:hAnsi="Calibri" w:cs="Calibri"/>
          <w:i/>
          <w:sz w:val="10"/>
          <w:szCs w:val="10"/>
        </w:rPr>
        <w:t>Pediatric</w:t>
      </w:r>
      <w:proofErr w:type="spellEnd"/>
      <w:r>
        <w:rPr>
          <w:rFonts w:ascii="Calibri" w:eastAsia="Calibri" w:hAnsi="Calibri" w:cs="Calibri"/>
          <w:i/>
          <w:sz w:val="10"/>
          <w:szCs w:val="10"/>
        </w:rPr>
        <w:t xml:space="preserve"> Department, </w:t>
      </w:r>
      <w:proofErr w:type="spellStart"/>
      <w:r>
        <w:rPr>
          <w:rFonts w:ascii="Calibri" w:eastAsia="Calibri" w:hAnsi="Calibri" w:cs="Calibri"/>
          <w:i/>
          <w:sz w:val="10"/>
          <w:szCs w:val="10"/>
        </w:rPr>
        <w:t>Kantonsspital</w:t>
      </w:r>
      <w:proofErr w:type="spellEnd"/>
      <w:r>
        <w:rPr>
          <w:rFonts w:ascii="Calibri" w:eastAsia="Calibri" w:hAnsi="Calibri" w:cs="Calibri"/>
          <w:i/>
          <w:sz w:val="10"/>
          <w:szCs w:val="10"/>
        </w:rPr>
        <w:t xml:space="preserve"> Winterthur, Winterthur, Switzerland, </w:t>
      </w:r>
      <w:r>
        <w:rPr>
          <w:rFonts w:ascii="Calibri" w:eastAsia="Calibri" w:hAnsi="Calibri" w:cs="Calibri"/>
          <w:i/>
          <w:sz w:val="10"/>
          <w:szCs w:val="10"/>
          <w:vertAlign w:val="superscript"/>
        </w:rPr>
        <w:t>57</w:t>
      </w:r>
      <w:r>
        <w:rPr>
          <w:rFonts w:ascii="Calibri" w:eastAsia="Calibri" w:hAnsi="Calibri" w:cs="Calibri"/>
          <w:i/>
          <w:sz w:val="10"/>
          <w:szCs w:val="10"/>
        </w:rPr>
        <w:t xml:space="preserve"> Endocrinology, Yerevan State Medical University Endocrinology Clinic, Yerevan, Armenia, 1, </w:t>
      </w:r>
      <w:r>
        <w:rPr>
          <w:rFonts w:ascii="Calibri" w:eastAsia="Calibri" w:hAnsi="Calibri" w:cs="Calibri"/>
          <w:i/>
          <w:sz w:val="10"/>
          <w:szCs w:val="10"/>
          <w:vertAlign w:val="superscript"/>
        </w:rPr>
        <w:t>58</w:t>
      </w:r>
      <w:r>
        <w:rPr>
          <w:rFonts w:ascii="Calibri" w:eastAsia="Calibri" w:hAnsi="Calibri" w:cs="Calibri"/>
          <w:i/>
          <w:sz w:val="10"/>
          <w:szCs w:val="10"/>
        </w:rPr>
        <w:t xml:space="preserve"> Metabolic Health Research Centre, Norwich Medical School, University of East Anglia, Norwich, UK,</w:t>
      </w:r>
      <w:r>
        <w:rPr>
          <w:rFonts w:ascii="Calibri" w:eastAsia="Calibri" w:hAnsi="Calibri" w:cs="Calibri"/>
          <w:i/>
          <w:sz w:val="10"/>
          <w:szCs w:val="10"/>
          <w:vertAlign w:val="superscript"/>
        </w:rPr>
        <w:t>59</w:t>
      </w:r>
      <w:r>
        <w:rPr>
          <w:rFonts w:ascii="Calibri" w:eastAsia="Calibri" w:hAnsi="Calibri" w:cs="Calibri"/>
          <w:i/>
          <w:sz w:val="10"/>
          <w:szCs w:val="10"/>
        </w:rPr>
        <w:t xml:space="preserve"> Hospital de Clinical de Porto Alegre, Porto Alegre, Brazil, </w:t>
      </w:r>
      <w:r>
        <w:rPr>
          <w:rFonts w:ascii="Calibri" w:eastAsia="Calibri" w:hAnsi="Calibri" w:cs="Calibri"/>
          <w:i/>
          <w:sz w:val="10"/>
          <w:szCs w:val="10"/>
          <w:vertAlign w:val="superscript"/>
        </w:rPr>
        <w:t>60</w:t>
      </w:r>
      <w:r>
        <w:rPr>
          <w:rFonts w:ascii="Calibri" w:eastAsia="Calibri" w:hAnsi="Calibri" w:cs="Calibri"/>
          <w:i/>
          <w:sz w:val="10"/>
          <w:szCs w:val="10"/>
        </w:rPr>
        <w:t xml:space="preserve"> Norfolk and Norwich University Hospital NHS Foundation Trust Colney Lane, Norwich NR4 7UY</w:t>
      </w:r>
    </w:p>
    <w:p w14:paraId="77812F1C" w14:textId="3E645D54" w:rsidR="0096734B" w:rsidRDefault="0096734B" w:rsidP="0096734B">
      <w:pPr>
        <w:spacing w:line="480" w:lineRule="auto"/>
        <w:rPr>
          <w:rFonts w:ascii="Calibri" w:eastAsia="Calibri" w:hAnsi="Calibri" w:cs="Calibri"/>
          <w:b/>
        </w:rPr>
      </w:pPr>
    </w:p>
    <w:p w14:paraId="01A8B7C5" w14:textId="77777777" w:rsidR="00F05212" w:rsidRDefault="00F05212" w:rsidP="0096734B">
      <w:pPr>
        <w:spacing w:line="480" w:lineRule="auto"/>
        <w:rPr>
          <w:rFonts w:ascii="Calibri" w:eastAsia="Calibri" w:hAnsi="Calibri" w:cs="Calibri"/>
          <w:b/>
        </w:rPr>
      </w:pPr>
    </w:p>
    <w:p w14:paraId="5AC081C2" w14:textId="6C1C4DDF" w:rsidR="0096734B" w:rsidRDefault="0096734B" w:rsidP="00291E72">
      <w:pPr>
        <w:spacing w:before="240" w:after="240" w:line="480" w:lineRule="auto"/>
        <w:rPr>
          <w:rFonts w:ascii="Calibri" w:eastAsia="Calibri" w:hAnsi="Calibri" w:cs="Calibri"/>
          <w:sz w:val="24"/>
          <w:szCs w:val="24"/>
        </w:rPr>
      </w:pPr>
      <w:r>
        <w:rPr>
          <w:rFonts w:ascii="Calibri" w:eastAsia="Calibri" w:hAnsi="Calibri" w:cs="Calibri"/>
          <w:b/>
          <w:sz w:val="24"/>
          <w:szCs w:val="24"/>
        </w:rPr>
        <w:lastRenderedPageBreak/>
        <w:t xml:space="preserve">Keywords: </w:t>
      </w:r>
      <w:r>
        <w:rPr>
          <w:rFonts w:ascii="Calibri" w:eastAsia="Calibri" w:hAnsi="Calibri" w:cs="Calibri"/>
          <w:sz w:val="24"/>
          <w:szCs w:val="24"/>
        </w:rPr>
        <w:t>Congenital Adrenal Hyperplasia, Glucocorticoid, Prescribing, Hydrocortisone</w:t>
      </w:r>
    </w:p>
    <w:p w14:paraId="1116E789" w14:textId="77777777" w:rsidR="00F05212" w:rsidRDefault="00F05212" w:rsidP="00F05212">
      <w:pPr>
        <w:spacing w:line="480" w:lineRule="auto"/>
        <w:rPr>
          <w:rFonts w:ascii="Calibri" w:eastAsia="Calibri" w:hAnsi="Calibri" w:cs="Calibri"/>
          <w:b/>
          <w:sz w:val="24"/>
          <w:szCs w:val="24"/>
        </w:rPr>
      </w:pPr>
      <w:r>
        <w:rPr>
          <w:rFonts w:ascii="Calibri" w:eastAsia="Calibri" w:hAnsi="Calibri" w:cs="Calibri"/>
          <w:b/>
          <w:sz w:val="24"/>
          <w:szCs w:val="24"/>
        </w:rPr>
        <w:t>Corresponding author’s postal and email address:</w:t>
      </w:r>
    </w:p>
    <w:p w14:paraId="36BD2C2A" w14:textId="6856E2EB" w:rsidR="00F05212" w:rsidRDefault="00F05212" w:rsidP="00F05212">
      <w:pPr>
        <w:spacing w:line="480" w:lineRule="auto"/>
        <w:rPr>
          <w:rFonts w:ascii="Calibri" w:eastAsia="Calibri" w:hAnsi="Calibri" w:cs="Calibri"/>
          <w:sz w:val="24"/>
          <w:szCs w:val="24"/>
        </w:rPr>
      </w:pPr>
      <w:r>
        <w:rPr>
          <w:rFonts w:ascii="Calibri" w:eastAsia="Calibri" w:hAnsi="Calibri" w:cs="Calibri"/>
          <w:sz w:val="24"/>
          <w:szCs w:val="24"/>
        </w:rPr>
        <w:t xml:space="preserve">Dr. Emma Webb, Jenny Lind Children's Hospital, Norfolk and Norwich University Hospital, NHS Foundation Trust, Colney Lane, Norwich NR4 7UY </w:t>
      </w:r>
      <w:hyperlink r:id="rId9" w:history="1">
        <w:r w:rsidR="002D09AB" w:rsidRPr="00AE2728">
          <w:rPr>
            <w:rStyle w:val="Hyperlink"/>
            <w:rFonts w:ascii="Calibri" w:eastAsia="Calibri" w:hAnsi="Calibri" w:cs="Calibri"/>
            <w:sz w:val="24"/>
            <w:szCs w:val="24"/>
          </w:rPr>
          <w:t>emma.webb@nnuh.nhs.uk</w:t>
        </w:r>
      </w:hyperlink>
    </w:p>
    <w:p w14:paraId="28F299F4" w14:textId="47AD643F" w:rsidR="002D09AB" w:rsidRDefault="002D09AB" w:rsidP="00F05212">
      <w:pPr>
        <w:spacing w:line="480" w:lineRule="auto"/>
        <w:rPr>
          <w:rFonts w:ascii="Calibri" w:eastAsia="Calibri" w:hAnsi="Calibri" w:cs="Calibri"/>
          <w:sz w:val="24"/>
          <w:szCs w:val="24"/>
        </w:rPr>
      </w:pPr>
      <w:r w:rsidRPr="002D09AB">
        <w:rPr>
          <w:rFonts w:ascii="Calibri" w:eastAsia="Calibri" w:hAnsi="Calibri" w:cs="Calibri"/>
          <w:sz w:val="24"/>
          <w:szCs w:val="24"/>
        </w:rPr>
        <w:t>EW made a substantial contribution to the organisation and conduct of the study and critiqued the output for important intellectual content</w:t>
      </w:r>
    </w:p>
    <w:p w14:paraId="16AF3710" w14:textId="77777777" w:rsidR="00F05212" w:rsidRDefault="00F05212" w:rsidP="00291E72">
      <w:pPr>
        <w:spacing w:before="240" w:after="240" w:line="480" w:lineRule="auto"/>
        <w:rPr>
          <w:rFonts w:ascii="Calibri" w:eastAsia="Calibri" w:hAnsi="Calibri" w:cs="Calibri"/>
          <w:sz w:val="24"/>
          <w:szCs w:val="24"/>
        </w:rPr>
      </w:pPr>
    </w:p>
    <w:p w14:paraId="263EE5B7" w14:textId="77777777" w:rsidR="0096734B" w:rsidRDefault="0096734B" w:rsidP="0096734B">
      <w:pPr>
        <w:spacing w:line="480" w:lineRule="auto"/>
        <w:rPr>
          <w:rFonts w:ascii="Calibri" w:eastAsia="Calibri" w:hAnsi="Calibri" w:cs="Calibri"/>
          <w:b/>
          <w:sz w:val="24"/>
          <w:szCs w:val="24"/>
        </w:rPr>
      </w:pPr>
      <w:r>
        <w:rPr>
          <w:rFonts w:ascii="Calibri" w:eastAsia="Calibri" w:hAnsi="Calibri" w:cs="Calibri"/>
          <w:b/>
          <w:sz w:val="24"/>
          <w:szCs w:val="24"/>
        </w:rPr>
        <w:t>Acknowledgements</w:t>
      </w:r>
    </w:p>
    <w:p w14:paraId="55FF6915" w14:textId="77777777" w:rsidR="0096734B" w:rsidRDefault="0096734B" w:rsidP="0096734B">
      <w:pPr>
        <w:spacing w:line="480" w:lineRule="auto"/>
        <w:rPr>
          <w:rFonts w:ascii="Calibri" w:eastAsia="Calibri" w:hAnsi="Calibri" w:cs="Calibri"/>
          <w:sz w:val="24"/>
          <w:szCs w:val="24"/>
          <w:highlight w:val="white"/>
        </w:rPr>
      </w:pPr>
      <w:r>
        <w:rPr>
          <w:rFonts w:ascii="Calibri" w:eastAsia="Calibri" w:hAnsi="Calibri" w:cs="Calibri"/>
          <w:sz w:val="24"/>
          <w:szCs w:val="24"/>
          <w:highlight w:val="white"/>
        </w:rPr>
        <w:t xml:space="preserve">The I‐CAH/I‐DSD registries were developed using support research grants from the Medical Research Council (G1100236), the Seventh European Union Framework Programme (201444), the European Society for Paediatric Endocrinology Research Unit, and an unrestricted education grant from Diurnal Ltd. X. T. is supported by an unrestricted educational grant from Neurocrine Biosciences. Abraham </w:t>
      </w:r>
      <w:proofErr w:type="spellStart"/>
      <w:r>
        <w:rPr>
          <w:rFonts w:ascii="Calibri" w:eastAsia="Calibri" w:hAnsi="Calibri" w:cs="Calibri"/>
          <w:sz w:val="24"/>
          <w:szCs w:val="24"/>
          <w:highlight w:val="white"/>
        </w:rPr>
        <w:t>Gihawi</w:t>
      </w:r>
      <w:proofErr w:type="spellEnd"/>
      <w:r>
        <w:rPr>
          <w:rFonts w:ascii="Calibri" w:eastAsia="Calibri" w:hAnsi="Calibri" w:cs="Calibri"/>
          <w:sz w:val="24"/>
          <w:szCs w:val="24"/>
          <w:highlight w:val="white"/>
        </w:rPr>
        <w:t xml:space="preserve"> is supported by Prostate Cancer UK (research grant reference: TLD-CAF22-011).</w:t>
      </w:r>
    </w:p>
    <w:p w14:paraId="64DADE5E" w14:textId="77777777" w:rsidR="00F05212" w:rsidRDefault="00F05212" w:rsidP="00F05212">
      <w:pPr>
        <w:spacing w:line="480" w:lineRule="auto"/>
        <w:rPr>
          <w:rFonts w:ascii="Calibri" w:eastAsia="Calibri" w:hAnsi="Calibri" w:cs="Calibri"/>
          <w:b/>
          <w:sz w:val="24"/>
          <w:szCs w:val="24"/>
        </w:rPr>
      </w:pPr>
      <w:r>
        <w:rPr>
          <w:rFonts w:ascii="Calibri" w:eastAsia="Calibri" w:hAnsi="Calibri" w:cs="Calibri"/>
          <w:b/>
          <w:sz w:val="24"/>
          <w:szCs w:val="24"/>
        </w:rPr>
        <w:t>Conflict of Interest Statement</w:t>
      </w:r>
    </w:p>
    <w:p w14:paraId="3B91AAD1" w14:textId="77777777" w:rsidR="00F05212" w:rsidRDefault="00F05212" w:rsidP="00F05212">
      <w:pPr>
        <w:spacing w:line="480" w:lineRule="auto"/>
        <w:rPr>
          <w:rFonts w:ascii="Calibri" w:eastAsia="Calibri" w:hAnsi="Calibri" w:cs="Calibri"/>
          <w:sz w:val="24"/>
          <w:szCs w:val="24"/>
        </w:rPr>
      </w:pPr>
      <w:r>
        <w:rPr>
          <w:rFonts w:ascii="Calibri" w:eastAsia="Calibri" w:hAnsi="Calibri" w:cs="Calibri"/>
          <w:sz w:val="24"/>
          <w:szCs w:val="24"/>
        </w:rPr>
        <w:t>The authors declare no conflict of interest while conducting the study.</w:t>
      </w:r>
    </w:p>
    <w:p w14:paraId="5E52F8A1" w14:textId="77777777" w:rsidR="00F05212" w:rsidRDefault="00F05212" w:rsidP="00F05212">
      <w:pPr>
        <w:spacing w:line="480" w:lineRule="auto"/>
        <w:rPr>
          <w:rFonts w:ascii="Calibri" w:eastAsia="Calibri" w:hAnsi="Calibri" w:cs="Calibri"/>
          <w:sz w:val="24"/>
          <w:szCs w:val="24"/>
        </w:rPr>
      </w:pPr>
    </w:p>
    <w:p w14:paraId="30191720" w14:textId="77777777" w:rsidR="00F05212" w:rsidRDefault="00F05212" w:rsidP="00F05212">
      <w:pPr>
        <w:spacing w:line="480" w:lineRule="auto"/>
        <w:rPr>
          <w:rFonts w:ascii="Calibri" w:eastAsia="Calibri" w:hAnsi="Calibri" w:cs="Calibri"/>
          <w:sz w:val="24"/>
          <w:szCs w:val="24"/>
        </w:rPr>
      </w:pPr>
      <w:r>
        <w:rPr>
          <w:rFonts w:ascii="Calibri" w:eastAsia="Calibri" w:hAnsi="Calibri" w:cs="Calibri"/>
          <w:b/>
          <w:sz w:val="24"/>
          <w:szCs w:val="24"/>
        </w:rPr>
        <w:t xml:space="preserve">Author Declaration </w:t>
      </w:r>
    </w:p>
    <w:p w14:paraId="4D98E9E9" w14:textId="77777777" w:rsidR="00F05212" w:rsidRDefault="00F05212" w:rsidP="00F05212">
      <w:pPr>
        <w:spacing w:line="480" w:lineRule="auto"/>
        <w:rPr>
          <w:rFonts w:ascii="Calibri" w:eastAsia="Calibri" w:hAnsi="Calibri" w:cs="Calibri"/>
          <w:sz w:val="24"/>
          <w:szCs w:val="24"/>
        </w:rPr>
      </w:pPr>
      <w:r>
        <w:rPr>
          <w:rFonts w:ascii="Calibri" w:eastAsia="Calibri" w:hAnsi="Calibri" w:cs="Calibri"/>
          <w:sz w:val="24"/>
          <w:szCs w:val="24"/>
        </w:rPr>
        <w:t xml:space="preserve">H. L. </w:t>
      </w:r>
      <w:proofErr w:type="spellStart"/>
      <w:r>
        <w:rPr>
          <w:rFonts w:ascii="Calibri" w:eastAsia="Calibri" w:hAnsi="Calibri" w:cs="Calibri"/>
          <w:sz w:val="24"/>
          <w:szCs w:val="24"/>
        </w:rPr>
        <w:t>Claahsen</w:t>
      </w:r>
      <w:proofErr w:type="spellEnd"/>
      <w:r>
        <w:rPr>
          <w:rFonts w:ascii="Calibri" w:eastAsia="Calibri" w:hAnsi="Calibri" w:cs="Calibri"/>
          <w:sz w:val="24"/>
          <w:szCs w:val="24"/>
        </w:rPr>
        <w:t xml:space="preserve">–van der </w:t>
      </w:r>
      <w:proofErr w:type="spellStart"/>
      <w:r>
        <w:rPr>
          <w:rFonts w:ascii="Calibri" w:eastAsia="Calibri" w:hAnsi="Calibri" w:cs="Calibri"/>
          <w:sz w:val="24"/>
          <w:szCs w:val="24"/>
        </w:rPr>
        <w:t>Grinten</w:t>
      </w:r>
      <w:proofErr w:type="spellEnd"/>
      <w:r>
        <w:rPr>
          <w:rFonts w:ascii="Calibri" w:eastAsia="Calibri" w:hAnsi="Calibri" w:cs="Calibri"/>
          <w:sz w:val="24"/>
          <w:szCs w:val="24"/>
        </w:rPr>
        <w:t xml:space="preserve"> has served as a medical adviser for </w:t>
      </w:r>
      <w:proofErr w:type="spellStart"/>
      <w:r>
        <w:rPr>
          <w:rFonts w:ascii="Calibri" w:eastAsia="Calibri" w:hAnsi="Calibri" w:cs="Calibri"/>
          <w:sz w:val="24"/>
          <w:szCs w:val="24"/>
        </w:rPr>
        <w:t>Crincerfont</w:t>
      </w:r>
      <w:proofErr w:type="spellEnd"/>
      <w:r>
        <w:rPr>
          <w:rFonts w:ascii="Calibri" w:eastAsia="Calibri" w:hAnsi="Calibri" w:cs="Calibri"/>
          <w:sz w:val="24"/>
          <w:szCs w:val="24"/>
        </w:rPr>
        <w:t xml:space="preserve"> and has received a lecture fee from Sandoz (2025).</w:t>
      </w:r>
    </w:p>
    <w:p w14:paraId="7E526DD3" w14:textId="77777777" w:rsidR="00F05212" w:rsidRDefault="00F05212" w:rsidP="00F05212">
      <w:pPr>
        <w:spacing w:line="480" w:lineRule="auto"/>
        <w:rPr>
          <w:rFonts w:ascii="Calibri" w:eastAsia="Calibri" w:hAnsi="Calibri" w:cs="Calibri"/>
          <w:sz w:val="24"/>
          <w:szCs w:val="24"/>
        </w:rPr>
      </w:pPr>
      <w:r>
        <w:rPr>
          <w:rFonts w:ascii="Calibri" w:eastAsia="Calibri" w:hAnsi="Calibri" w:cs="Calibri"/>
          <w:sz w:val="24"/>
          <w:szCs w:val="24"/>
        </w:rPr>
        <w:t>J. W. Tomlinson has received a lecture fee from Neurocrine (2025).</w:t>
      </w:r>
    </w:p>
    <w:p w14:paraId="3B4C4438" w14:textId="77777777" w:rsidR="00F05212" w:rsidRDefault="00F05212" w:rsidP="00F05212">
      <w:pPr>
        <w:spacing w:line="480" w:lineRule="auto"/>
        <w:rPr>
          <w:rFonts w:ascii="Calibri" w:eastAsia="Calibri" w:hAnsi="Calibri" w:cs="Calibri"/>
          <w:sz w:val="24"/>
          <w:szCs w:val="24"/>
        </w:rPr>
      </w:pPr>
      <w:r>
        <w:rPr>
          <w:rFonts w:ascii="Calibri" w:eastAsia="Calibri" w:hAnsi="Calibri" w:cs="Calibri"/>
          <w:sz w:val="24"/>
          <w:szCs w:val="24"/>
        </w:rPr>
        <w:t xml:space="preserve">A. Rees has received honoraria for lectures from Neurocrine Biosciences and </w:t>
      </w:r>
      <w:proofErr w:type="spellStart"/>
      <w:r>
        <w:rPr>
          <w:rFonts w:ascii="Calibri" w:eastAsia="Calibri" w:hAnsi="Calibri" w:cs="Calibri"/>
          <w:sz w:val="24"/>
          <w:szCs w:val="24"/>
        </w:rPr>
        <w:t>FrostPharma</w:t>
      </w:r>
      <w:proofErr w:type="spellEnd"/>
      <w:r>
        <w:rPr>
          <w:rFonts w:ascii="Calibri" w:eastAsia="Calibri" w:hAnsi="Calibri" w:cs="Calibri"/>
          <w:sz w:val="24"/>
          <w:szCs w:val="24"/>
        </w:rPr>
        <w:t>, and for participation in an advisory board for Neurocrine Biosciences.</w:t>
      </w:r>
    </w:p>
    <w:p w14:paraId="1D988564" w14:textId="77777777" w:rsidR="0096734B" w:rsidRDefault="0096734B" w:rsidP="0096734B">
      <w:pPr>
        <w:spacing w:line="480" w:lineRule="auto"/>
        <w:rPr>
          <w:rFonts w:ascii="Calibri" w:eastAsia="Calibri" w:hAnsi="Calibri" w:cs="Calibri"/>
          <w:sz w:val="24"/>
          <w:szCs w:val="24"/>
        </w:rPr>
      </w:pPr>
    </w:p>
    <w:p w14:paraId="7F42024D" w14:textId="77777777" w:rsidR="0096734B" w:rsidRDefault="0096734B" w:rsidP="0096734B">
      <w:pPr>
        <w:spacing w:line="480" w:lineRule="auto"/>
        <w:rPr>
          <w:rFonts w:ascii="Calibri" w:eastAsia="Calibri" w:hAnsi="Calibri" w:cs="Calibri"/>
          <w:b/>
          <w:sz w:val="24"/>
          <w:szCs w:val="24"/>
        </w:rPr>
      </w:pPr>
      <w:r>
        <w:rPr>
          <w:rFonts w:ascii="Calibri" w:eastAsia="Calibri" w:hAnsi="Calibri" w:cs="Calibri"/>
          <w:b/>
          <w:sz w:val="24"/>
          <w:szCs w:val="24"/>
        </w:rPr>
        <w:t>Funding Statement</w:t>
      </w:r>
    </w:p>
    <w:p w14:paraId="225F2DEC" w14:textId="77777777" w:rsidR="0096734B" w:rsidRDefault="0096734B" w:rsidP="0096734B">
      <w:pPr>
        <w:spacing w:line="480" w:lineRule="auto"/>
        <w:rPr>
          <w:rFonts w:ascii="Calibri" w:eastAsia="Calibri" w:hAnsi="Calibri" w:cs="Calibri"/>
          <w:sz w:val="24"/>
          <w:szCs w:val="24"/>
        </w:rPr>
      </w:pPr>
      <w:r>
        <w:rPr>
          <w:rFonts w:ascii="Calibri" w:eastAsia="Calibri" w:hAnsi="Calibri" w:cs="Calibri"/>
          <w:sz w:val="24"/>
          <w:szCs w:val="24"/>
          <w:highlight w:val="white"/>
        </w:rPr>
        <w:t>Research grants from the Medical Research Council (G1100236), the Seventh European Union Framework Programme (201444), the European Society for Paediatric Endocrinology Research Unit and an unrestricted education grant from Diurnal Ltd. X. T. is supported by an unrestricted educational grant from Neurocrine Biosciences.</w:t>
      </w:r>
    </w:p>
    <w:p w14:paraId="38718A6E" w14:textId="77777777" w:rsidR="0096734B" w:rsidRDefault="0096734B" w:rsidP="0096734B">
      <w:pPr>
        <w:spacing w:line="480" w:lineRule="auto"/>
        <w:rPr>
          <w:rFonts w:ascii="Calibri" w:eastAsia="Calibri" w:hAnsi="Calibri" w:cs="Calibri"/>
          <w:sz w:val="24"/>
          <w:szCs w:val="24"/>
        </w:rPr>
      </w:pPr>
    </w:p>
    <w:p w14:paraId="76D873AD" w14:textId="77777777" w:rsidR="0096734B" w:rsidRDefault="0096734B" w:rsidP="0096734B">
      <w:pPr>
        <w:spacing w:line="480" w:lineRule="auto"/>
        <w:rPr>
          <w:rFonts w:ascii="Calibri" w:eastAsia="Calibri" w:hAnsi="Calibri" w:cs="Calibri"/>
          <w:b/>
          <w:sz w:val="24"/>
          <w:szCs w:val="24"/>
        </w:rPr>
      </w:pPr>
      <w:r>
        <w:rPr>
          <w:rFonts w:ascii="Calibri" w:eastAsia="Calibri" w:hAnsi="Calibri" w:cs="Calibri"/>
          <w:b/>
          <w:sz w:val="24"/>
          <w:szCs w:val="24"/>
        </w:rPr>
        <w:t>Ethics</w:t>
      </w:r>
    </w:p>
    <w:p w14:paraId="68DAAC41" w14:textId="77777777" w:rsidR="0096734B" w:rsidRDefault="0096734B" w:rsidP="0096734B">
      <w:pPr>
        <w:spacing w:line="480" w:lineRule="auto"/>
        <w:rPr>
          <w:rFonts w:ascii="Calibri" w:eastAsia="Calibri" w:hAnsi="Calibri" w:cs="Calibri"/>
          <w:sz w:val="24"/>
          <w:szCs w:val="24"/>
        </w:rPr>
      </w:pPr>
      <w:r>
        <w:rPr>
          <w:rFonts w:ascii="Calibri" w:eastAsia="Calibri" w:hAnsi="Calibri" w:cs="Calibri"/>
          <w:sz w:val="24"/>
          <w:szCs w:val="24"/>
        </w:rPr>
        <w:t>The I-DSD Registry is approved by the National Research Ethics Service in the United Kingdom as a research database of information that is collected as part of routine clinical care (19/WS/0131). The data within this registry are deposited by clinicians following informed consent from patients or guardians. The study was carried out according to the Declaration of Helsinki.</w:t>
      </w:r>
    </w:p>
    <w:p w14:paraId="280F35EC" w14:textId="77777777" w:rsidR="0096734B" w:rsidRDefault="0096734B" w:rsidP="0096734B">
      <w:pPr>
        <w:spacing w:line="480" w:lineRule="auto"/>
        <w:rPr>
          <w:rFonts w:ascii="Calibri" w:eastAsia="Calibri" w:hAnsi="Calibri" w:cs="Calibri"/>
          <w:sz w:val="24"/>
          <w:szCs w:val="24"/>
        </w:rPr>
      </w:pPr>
    </w:p>
    <w:p w14:paraId="6A945F52" w14:textId="77777777" w:rsidR="0096734B" w:rsidRDefault="0096734B" w:rsidP="0096734B">
      <w:pPr>
        <w:spacing w:line="480" w:lineRule="auto"/>
        <w:rPr>
          <w:rFonts w:ascii="Calibri" w:eastAsia="Calibri" w:hAnsi="Calibri" w:cs="Calibri"/>
          <w:b/>
          <w:sz w:val="24"/>
          <w:szCs w:val="24"/>
        </w:rPr>
      </w:pPr>
      <w:r>
        <w:rPr>
          <w:rFonts w:ascii="Calibri" w:eastAsia="Calibri" w:hAnsi="Calibri" w:cs="Calibri"/>
          <w:b/>
          <w:sz w:val="24"/>
          <w:szCs w:val="24"/>
        </w:rPr>
        <w:t>Data availability statement</w:t>
      </w:r>
    </w:p>
    <w:p w14:paraId="1FBA64F3" w14:textId="77777777" w:rsidR="0096734B" w:rsidRDefault="0096734B" w:rsidP="0096734B">
      <w:pPr>
        <w:spacing w:line="480" w:lineRule="auto"/>
        <w:jc w:val="center"/>
        <w:rPr>
          <w:rFonts w:ascii="Calibri" w:eastAsia="Calibri" w:hAnsi="Calibri" w:cs="Calibri"/>
          <w:sz w:val="24"/>
          <w:szCs w:val="24"/>
        </w:rPr>
      </w:pPr>
      <w:r>
        <w:rPr>
          <w:rFonts w:ascii="Calibri" w:eastAsia="Calibri" w:hAnsi="Calibri" w:cs="Calibri"/>
          <w:sz w:val="24"/>
          <w:szCs w:val="24"/>
          <w:highlight w:val="white"/>
        </w:rPr>
        <w:t xml:space="preserve">The datasets generated and analysed during the current study are not available publicly but available to access through a data sharing agreement available at </w:t>
      </w:r>
      <w:hyperlink r:id="rId10">
        <w:r>
          <w:rPr>
            <w:rFonts w:ascii="Calibri" w:eastAsia="Calibri" w:hAnsi="Calibri" w:cs="Calibri"/>
            <w:sz w:val="24"/>
            <w:szCs w:val="24"/>
            <w:highlight w:val="white"/>
            <w:u w:val="single"/>
          </w:rPr>
          <w:t>https://idsdorg.files.wordpress.com/2021/11/i-dsd-i-cah-i-ts-data-sharing-agreement-v4.0-241121.docx</w:t>
        </w:r>
      </w:hyperlink>
      <w:r>
        <w:rPr>
          <w:rFonts w:ascii="Calibri" w:eastAsia="Calibri" w:hAnsi="Calibri" w:cs="Calibri"/>
          <w:sz w:val="24"/>
          <w:szCs w:val="24"/>
          <w:highlight w:val="white"/>
        </w:rPr>
        <w:t>.</w:t>
      </w:r>
    </w:p>
    <w:p w14:paraId="2017F049" w14:textId="77777777" w:rsidR="0096734B" w:rsidRDefault="0096734B" w:rsidP="0096734B">
      <w:pPr>
        <w:spacing w:line="480" w:lineRule="auto"/>
        <w:jc w:val="center"/>
        <w:rPr>
          <w:rFonts w:ascii="Calibri" w:eastAsia="Calibri" w:hAnsi="Calibri" w:cs="Calibri"/>
          <w:sz w:val="24"/>
          <w:szCs w:val="24"/>
        </w:rPr>
      </w:pPr>
    </w:p>
    <w:p w14:paraId="528EA68E" w14:textId="77777777" w:rsidR="0096734B" w:rsidRDefault="0096734B" w:rsidP="0096734B">
      <w:pPr>
        <w:spacing w:line="480" w:lineRule="auto"/>
        <w:jc w:val="center"/>
        <w:rPr>
          <w:rFonts w:ascii="Calibri" w:eastAsia="Calibri" w:hAnsi="Calibri" w:cs="Calibri"/>
          <w:sz w:val="24"/>
          <w:szCs w:val="24"/>
        </w:rPr>
      </w:pPr>
    </w:p>
    <w:p w14:paraId="678F1A2F" w14:textId="77777777" w:rsidR="0096734B" w:rsidRDefault="0096734B" w:rsidP="0096734B">
      <w:pPr>
        <w:spacing w:line="480" w:lineRule="auto"/>
        <w:jc w:val="center"/>
        <w:rPr>
          <w:rFonts w:ascii="Calibri" w:eastAsia="Calibri" w:hAnsi="Calibri" w:cs="Calibri"/>
          <w:sz w:val="24"/>
          <w:szCs w:val="24"/>
        </w:rPr>
      </w:pPr>
    </w:p>
    <w:p w14:paraId="274F4A8D" w14:textId="77777777" w:rsidR="0096734B" w:rsidRDefault="0096734B" w:rsidP="0096734B">
      <w:pPr>
        <w:spacing w:line="480" w:lineRule="auto"/>
        <w:jc w:val="center"/>
        <w:rPr>
          <w:rFonts w:ascii="Calibri" w:eastAsia="Calibri" w:hAnsi="Calibri" w:cs="Calibri"/>
          <w:sz w:val="24"/>
          <w:szCs w:val="24"/>
        </w:rPr>
      </w:pPr>
    </w:p>
    <w:p w14:paraId="5446706C" w14:textId="77777777" w:rsidR="00291E72" w:rsidRDefault="00291E72">
      <w:pPr>
        <w:rPr>
          <w:rFonts w:ascii="Calibri" w:eastAsia="Calibri" w:hAnsi="Calibri" w:cs="Calibri"/>
          <w:b/>
        </w:rPr>
      </w:pPr>
      <w:r>
        <w:rPr>
          <w:rFonts w:ascii="Calibri" w:eastAsia="Calibri" w:hAnsi="Calibri" w:cs="Calibri"/>
          <w:b/>
        </w:rPr>
        <w:br w:type="page"/>
      </w:r>
    </w:p>
    <w:p w14:paraId="3A819153" w14:textId="529C611D" w:rsidR="0012549D" w:rsidRDefault="00000000" w:rsidP="0096734B">
      <w:pPr>
        <w:spacing w:line="480" w:lineRule="auto"/>
        <w:jc w:val="center"/>
        <w:rPr>
          <w:rFonts w:ascii="Calibri" w:eastAsia="Calibri" w:hAnsi="Calibri" w:cs="Calibri"/>
          <w:b/>
        </w:rPr>
      </w:pPr>
      <w:r>
        <w:rPr>
          <w:rFonts w:ascii="Calibri" w:eastAsia="Calibri" w:hAnsi="Calibri" w:cs="Calibri"/>
          <w:b/>
        </w:rPr>
        <w:lastRenderedPageBreak/>
        <w:t>Glucocorticoid Prescribing Trends in Congenital Adrenal Hyperplasia, 2017 to 2023</w:t>
      </w:r>
    </w:p>
    <w:p w14:paraId="17B0E3E3" w14:textId="77777777" w:rsidR="0012549D" w:rsidRDefault="00000000">
      <w:pPr>
        <w:spacing w:line="480" w:lineRule="auto"/>
        <w:jc w:val="center"/>
        <w:rPr>
          <w:rFonts w:ascii="Calibri" w:eastAsia="Calibri" w:hAnsi="Calibri" w:cs="Calibri"/>
          <w:b/>
        </w:rPr>
      </w:pPr>
      <w:r>
        <w:rPr>
          <w:rFonts w:ascii="Calibri" w:eastAsia="Calibri" w:hAnsi="Calibri" w:cs="Calibri"/>
          <w:b/>
        </w:rPr>
        <w:t>Glucocorticoid Use in CAH, 2017–2023</w:t>
      </w:r>
    </w:p>
    <w:p w14:paraId="782340EC" w14:textId="77777777" w:rsidR="0012549D" w:rsidRDefault="00000000">
      <w:pPr>
        <w:spacing w:line="480" w:lineRule="auto"/>
        <w:jc w:val="center"/>
        <w:rPr>
          <w:rFonts w:ascii="Calibri" w:eastAsia="Calibri" w:hAnsi="Calibri" w:cs="Calibri"/>
        </w:rPr>
      </w:pPr>
      <w:r>
        <w:rPr>
          <w:rFonts w:ascii="Calibri" w:eastAsia="Calibri" w:hAnsi="Calibri" w:cs="Calibri"/>
        </w:rPr>
        <w:t>2,848 words (excluding references and figure legends)</w:t>
      </w:r>
    </w:p>
    <w:p w14:paraId="7B7E862E" w14:textId="77777777" w:rsidR="0012549D" w:rsidRDefault="0012549D">
      <w:pPr>
        <w:spacing w:line="480" w:lineRule="auto"/>
        <w:rPr>
          <w:rFonts w:ascii="Calibri" w:eastAsia="Calibri" w:hAnsi="Calibri" w:cs="Calibri"/>
          <w:b/>
          <w:sz w:val="26"/>
          <w:szCs w:val="26"/>
        </w:rPr>
      </w:pPr>
    </w:p>
    <w:p w14:paraId="3FEE9ADB" w14:textId="77777777" w:rsidR="0012549D" w:rsidRDefault="00000000">
      <w:pPr>
        <w:spacing w:line="480" w:lineRule="auto"/>
        <w:rPr>
          <w:rFonts w:ascii="Calibri" w:eastAsia="Calibri" w:hAnsi="Calibri" w:cs="Calibri"/>
          <w:color w:val="001EFF"/>
          <w:sz w:val="24"/>
          <w:szCs w:val="24"/>
        </w:rPr>
      </w:pPr>
      <w:r>
        <w:rPr>
          <w:rFonts w:ascii="Calibri" w:eastAsia="Calibri" w:hAnsi="Calibri" w:cs="Calibri"/>
          <w:b/>
          <w:sz w:val="28"/>
          <w:szCs w:val="28"/>
        </w:rPr>
        <w:t>ABSTRACT</w:t>
      </w:r>
      <w:r>
        <w:rPr>
          <w:rFonts w:ascii="Calibri" w:eastAsia="Calibri" w:hAnsi="Calibri" w:cs="Calibri"/>
          <w:sz w:val="26"/>
          <w:szCs w:val="26"/>
        </w:rPr>
        <w:t xml:space="preserve"> </w:t>
      </w:r>
    </w:p>
    <w:p w14:paraId="3FB79F0C" w14:textId="290827C2" w:rsidR="0012549D" w:rsidRDefault="00000000">
      <w:pPr>
        <w:shd w:val="clear" w:color="auto" w:fill="FFFFFF"/>
        <w:spacing w:before="240" w:after="240" w:line="480" w:lineRule="auto"/>
        <w:rPr>
          <w:rFonts w:ascii="Calibri" w:eastAsia="Calibri" w:hAnsi="Calibri" w:cs="Calibri"/>
          <w:sz w:val="24"/>
          <w:szCs w:val="24"/>
        </w:rPr>
      </w:pPr>
      <w:r>
        <w:rPr>
          <w:rFonts w:ascii="Calibri" w:eastAsia="Calibri" w:hAnsi="Calibri" w:cs="Calibri"/>
          <w:b/>
          <w:sz w:val="24"/>
          <w:szCs w:val="24"/>
        </w:rPr>
        <w:t>Objective:</w:t>
      </w:r>
      <w:r>
        <w:rPr>
          <w:rFonts w:ascii="Calibri" w:eastAsia="Calibri" w:hAnsi="Calibri" w:cs="Calibri"/>
          <w:sz w:val="24"/>
          <w:szCs w:val="24"/>
        </w:rPr>
        <w:t xml:space="preserve"> This study investigates the utilization of modern glucocorticoid medications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Plenadren®) for congenital adrenal hyperplasia due to 21-hydroxylase deficiency, examining prescribing patterns, barriers to adoption, and geographical and temporal trends. </w:t>
      </w:r>
      <w:r>
        <w:rPr>
          <w:rFonts w:ascii="Calibri" w:eastAsia="Calibri" w:hAnsi="Calibri" w:cs="Calibri"/>
          <w:b/>
          <w:sz w:val="24"/>
          <w:szCs w:val="24"/>
        </w:rPr>
        <w:t>Methods:</w:t>
      </w:r>
      <w:r>
        <w:rPr>
          <w:rFonts w:ascii="Calibri" w:eastAsia="Calibri" w:hAnsi="Calibri" w:cs="Calibri"/>
          <w:sz w:val="24"/>
          <w:szCs w:val="24"/>
        </w:rPr>
        <w:t xml:space="preserve"> A two-part study was conducted: a retrospective analysis of treatment regimens from the International Congenital Adrenal Hyperplasia Registry across 46 centres in </w:t>
      </w:r>
      <w:r w:rsidR="00927826">
        <w:rPr>
          <w:rFonts w:ascii="Calibri" w:eastAsia="Calibri" w:hAnsi="Calibri" w:cs="Calibri"/>
          <w:sz w:val="24"/>
          <w:szCs w:val="24"/>
        </w:rPr>
        <w:t>20</w:t>
      </w:r>
      <w:r>
        <w:rPr>
          <w:rFonts w:ascii="Calibri" w:eastAsia="Calibri" w:hAnsi="Calibri" w:cs="Calibri"/>
          <w:sz w:val="24"/>
          <w:szCs w:val="24"/>
        </w:rPr>
        <w:t xml:space="preserve"> countries (2017-2023), and a qualitative survey of 39 centres regarding barriers to prescribing modern medications. Patients included both paediatric and adult populations. Data analysed included regional prescription trends, timing of modern glucocorticoid adoption, and identified barriers. </w:t>
      </w:r>
      <w:r>
        <w:rPr>
          <w:rFonts w:ascii="Calibri" w:eastAsia="Calibri" w:hAnsi="Calibri" w:cs="Calibri"/>
          <w:b/>
          <w:sz w:val="24"/>
          <w:szCs w:val="24"/>
        </w:rPr>
        <w:t>Results:</w:t>
      </w:r>
      <w:r>
        <w:rPr>
          <w:rFonts w:ascii="Calibri" w:eastAsia="Calibri" w:hAnsi="Calibri" w:cs="Calibri"/>
          <w:sz w:val="24"/>
          <w:szCs w:val="24"/>
        </w:rPr>
        <w:t xml:space="preserve"> From 2017-2023, 44 of 790 (5%) patients transitioned from traditional to modern glucocorticoid therapy, with the highest adoption in high-income Western European countries.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was exclusively prescribed to patients </w:t>
      </w:r>
      <w:r w:rsidRPr="00C44B1A">
        <w:rPr>
          <w:rFonts w:ascii="Calibri" w:eastAsia="Calibri" w:hAnsi="Calibri" w:cs="Calibri"/>
          <w:sz w:val="24"/>
          <w:szCs w:val="24"/>
        </w:rPr>
        <w:t xml:space="preserve">under </w:t>
      </w:r>
      <w:r w:rsidR="00C44B1A" w:rsidRPr="00215C13">
        <w:rPr>
          <w:rFonts w:ascii="Calibri" w:eastAsia="Calibri" w:hAnsi="Calibri" w:cs="Calibri"/>
          <w:sz w:val="24"/>
          <w:szCs w:val="24"/>
        </w:rPr>
        <w:t>8</w:t>
      </w:r>
      <w:r w:rsidRPr="00C44B1A">
        <w:rPr>
          <w:rFonts w:ascii="Calibri" w:eastAsia="Calibri" w:hAnsi="Calibri" w:cs="Calibri"/>
          <w:sz w:val="24"/>
          <w:szCs w:val="24"/>
        </w:rPr>
        <w:t xml:space="preserve"> years</w:t>
      </w:r>
      <w:r>
        <w:rPr>
          <w:rFonts w:ascii="Calibri" w:eastAsia="Calibri" w:hAnsi="Calibri" w:cs="Calibri"/>
          <w:sz w:val="24"/>
          <w:szCs w:val="24"/>
        </w:rPr>
        <w:t xml:space="preserve">, while 97% of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users were 7 years or older. By 2023, modern glucocorticoid availability varied among centres: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(54%),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(46%), Plenadren® (33%), and </w:t>
      </w:r>
      <w:proofErr w:type="spellStart"/>
      <w:r>
        <w:rPr>
          <w:rFonts w:ascii="Calibri" w:eastAsia="Calibri" w:hAnsi="Calibri" w:cs="Calibri"/>
          <w:sz w:val="24"/>
          <w:szCs w:val="24"/>
        </w:rPr>
        <w:t>Acecort</w:t>
      </w:r>
      <w:proofErr w:type="spellEnd"/>
      <w:r>
        <w:rPr>
          <w:rFonts w:ascii="Calibri" w:eastAsia="Calibri" w:hAnsi="Calibri" w:cs="Calibri"/>
          <w:sz w:val="24"/>
          <w:szCs w:val="24"/>
        </w:rPr>
        <w:t>® (15%</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w:t>
      </w:r>
      <w:r>
        <w:rPr>
          <w:rFonts w:ascii="Calibri" w:eastAsia="Calibri" w:hAnsi="Calibri" w:cs="Calibri"/>
          <w:b/>
          <w:sz w:val="24"/>
          <w:szCs w:val="24"/>
        </w:rPr>
        <w:t>Conclusion:</w:t>
      </w:r>
      <w:r>
        <w:rPr>
          <w:rFonts w:ascii="Calibri" w:eastAsia="Calibri" w:hAnsi="Calibri" w:cs="Calibri"/>
          <w:sz w:val="24"/>
          <w:szCs w:val="24"/>
        </w:rPr>
        <w:t xml:space="preserve"> Adoption of modern glucocorticoid medications for congenital adrenal hyperplasia remains limited, with only approximately 5% of patients transitioning from traditional therapies. Significant barriers include legislative approval, supply chain challenges, and elevated costs.</w:t>
      </w:r>
    </w:p>
    <w:p w14:paraId="0B0480DC" w14:textId="77777777" w:rsidR="00215C13" w:rsidRDefault="00215C13">
      <w:pPr>
        <w:shd w:val="clear" w:color="auto" w:fill="FFFFFF"/>
        <w:spacing w:before="240" w:after="240" w:line="480" w:lineRule="auto"/>
        <w:rPr>
          <w:rFonts w:ascii="Calibri" w:eastAsia="Calibri" w:hAnsi="Calibri" w:cs="Calibri"/>
          <w:b/>
          <w:sz w:val="28"/>
          <w:szCs w:val="28"/>
        </w:rPr>
      </w:pPr>
    </w:p>
    <w:p w14:paraId="025D60E3" w14:textId="56B8CFB0" w:rsidR="0012549D" w:rsidRDefault="00000000">
      <w:pPr>
        <w:shd w:val="clear" w:color="auto" w:fill="FFFFFF"/>
        <w:spacing w:before="240" w:after="240" w:line="480" w:lineRule="auto"/>
        <w:rPr>
          <w:rFonts w:ascii="Calibri" w:eastAsia="Calibri" w:hAnsi="Calibri" w:cs="Calibri"/>
          <w:b/>
          <w:sz w:val="28"/>
          <w:szCs w:val="28"/>
        </w:rPr>
      </w:pPr>
      <w:r>
        <w:rPr>
          <w:rFonts w:ascii="Calibri" w:eastAsia="Calibri" w:hAnsi="Calibri" w:cs="Calibri"/>
          <w:b/>
          <w:sz w:val="28"/>
          <w:szCs w:val="28"/>
        </w:rPr>
        <w:lastRenderedPageBreak/>
        <w:t>PLAIN LANGUAGE SUMMARY</w:t>
      </w:r>
    </w:p>
    <w:p w14:paraId="535A898E" w14:textId="0628E023" w:rsidR="0012549D" w:rsidRDefault="00000000">
      <w:pPr>
        <w:spacing w:line="480" w:lineRule="auto"/>
        <w:jc w:val="both"/>
        <w:rPr>
          <w:rFonts w:ascii="Calibri" w:eastAsia="Calibri" w:hAnsi="Calibri" w:cs="Calibri"/>
          <w:b/>
          <w:sz w:val="28"/>
          <w:szCs w:val="28"/>
        </w:rPr>
      </w:pPr>
      <w:r>
        <w:rPr>
          <w:rFonts w:ascii="Calibri" w:eastAsia="Calibri" w:hAnsi="Calibri" w:cs="Calibri"/>
          <w:sz w:val="24"/>
          <w:szCs w:val="24"/>
        </w:rPr>
        <w:t xml:space="preserve">This international study looked at how new medications for congenital adrenal hyperplasia are used globally. </w:t>
      </w:r>
      <w:r w:rsidRPr="00546FF0">
        <w:rPr>
          <w:rFonts w:ascii="Calibri" w:eastAsia="Calibri" w:hAnsi="Calibri" w:cs="Calibri"/>
          <w:sz w:val="24"/>
          <w:szCs w:val="24"/>
        </w:rPr>
        <w:t xml:space="preserve">We found that despite </w:t>
      </w:r>
      <w:r w:rsidR="00546FF0">
        <w:rPr>
          <w:rFonts w:ascii="Calibri" w:eastAsia="Calibri" w:hAnsi="Calibri" w:cs="Calibri"/>
          <w:sz w:val="24"/>
          <w:szCs w:val="24"/>
        </w:rPr>
        <w:t xml:space="preserve">increasing availability of new medications during the study </w:t>
      </w:r>
      <w:proofErr w:type="gramStart"/>
      <w:r w:rsidR="00546FF0">
        <w:rPr>
          <w:rFonts w:ascii="Calibri" w:eastAsia="Calibri" w:hAnsi="Calibri" w:cs="Calibri"/>
          <w:sz w:val="24"/>
          <w:szCs w:val="24"/>
        </w:rPr>
        <w:t>time period</w:t>
      </w:r>
      <w:proofErr w:type="gramEnd"/>
      <w:r>
        <w:rPr>
          <w:rFonts w:ascii="Calibri" w:eastAsia="Calibri" w:hAnsi="Calibri" w:cs="Calibri"/>
          <w:sz w:val="24"/>
          <w:szCs w:val="24"/>
        </w:rPr>
        <w:t>, only a small number of patients (5%) switched to these newer treatments. This limited use is mainly due to high costs, problems with getting legal approval, and supply issues, highlighting unequal access to care worldwide.</w:t>
      </w:r>
      <w:r>
        <w:br w:type="page"/>
      </w:r>
    </w:p>
    <w:p w14:paraId="535BE30E" w14:textId="77777777" w:rsidR="0012549D" w:rsidRDefault="00000000">
      <w:pPr>
        <w:spacing w:line="480" w:lineRule="auto"/>
        <w:rPr>
          <w:rFonts w:ascii="Calibri" w:eastAsia="Calibri" w:hAnsi="Calibri" w:cs="Calibri"/>
          <w:b/>
          <w:sz w:val="28"/>
          <w:szCs w:val="28"/>
        </w:rPr>
      </w:pPr>
      <w:r>
        <w:rPr>
          <w:rFonts w:ascii="Calibri" w:eastAsia="Calibri" w:hAnsi="Calibri" w:cs="Calibri"/>
          <w:b/>
          <w:sz w:val="28"/>
          <w:szCs w:val="28"/>
        </w:rPr>
        <w:lastRenderedPageBreak/>
        <w:t>INTRODUCTION</w:t>
      </w:r>
    </w:p>
    <w:p w14:paraId="07227219" w14:textId="77777777"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 xml:space="preserve">Congenital adrenal hyperplasia (CAH) most commonly results from pathogenic variants in the </w:t>
      </w:r>
      <w:r>
        <w:rPr>
          <w:rFonts w:ascii="Calibri" w:eastAsia="Calibri" w:hAnsi="Calibri" w:cs="Calibri"/>
          <w:i/>
          <w:sz w:val="24"/>
          <w:szCs w:val="24"/>
        </w:rPr>
        <w:t>CYP21A2</w:t>
      </w:r>
      <w:r>
        <w:rPr>
          <w:rFonts w:ascii="Calibri" w:eastAsia="Calibri" w:hAnsi="Calibri" w:cs="Calibri"/>
          <w:sz w:val="24"/>
          <w:szCs w:val="24"/>
        </w:rPr>
        <w:t xml:space="preserve"> gene, leading to 21-hydroxylase deficiency (21-OHD) </w:t>
      </w:r>
      <w:r>
        <w:rPr>
          <w:rFonts w:ascii="Calibri" w:eastAsia="Calibri" w:hAnsi="Calibri" w:cs="Calibri"/>
          <w:sz w:val="24"/>
          <w:szCs w:val="24"/>
          <w:vertAlign w:val="superscript"/>
        </w:rPr>
        <w:t>1</w:t>
      </w:r>
      <w:r>
        <w:rPr>
          <w:rFonts w:ascii="Calibri" w:eastAsia="Calibri" w:hAnsi="Calibri" w:cs="Calibri"/>
          <w:sz w:val="24"/>
          <w:szCs w:val="24"/>
        </w:rPr>
        <w:t xml:space="preserve">. This enzyme deficiency impairs cortisol and aldosterone synthesis and results in excess androgen production </w:t>
      </w:r>
      <w:r>
        <w:rPr>
          <w:rFonts w:ascii="Calibri" w:eastAsia="Calibri" w:hAnsi="Calibri" w:cs="Calibri"/>
          <w:sz w:val="24"/>
          <w:szCs w:val="24"/>
          <w:vertAlign w:val="superscript"/>
        </w:rPr>
        <w:t>2</w:t>
      </w:r>
      <w:r>
        <w:rPr>
          <w:rFonts w:ascii="Calibri" w:eastAsia="Calibri" w:hAnsi="Calibri" w:cs="Calibri"/>
          <w:sz w:val="24"/>
          <w:szCs w:val="24"/>
        </w:rPr>
        <w:t xml:space="preserve">. The clinical spectrum of CAH is diverse, ranging from mild to severe forms depending on the extent of the enzymatic defect and associated hormonal disturbances </w:t>
      </w:r>
      <w:r>
        <w:rPr>
          <w:rFonts w:ascii="Calibri" w:eastAsia="Calibri" w:hAnsi="Calibri" w:cs="Calibri"/>
          <w:sz w:val="24"/>
          <w:szCs w:val="24"/>
          <w:vertAlign w:val="superscript"/>
        </w:rPr>
        <w:t>1</w:t>
      </w:r>
      <w:r>
        <w:rPr>
          <w:rFonts w:ascii="Calibri" w:eastAsia="Calibri" w:hAnsi="Calibri" w:cs="Calibri"/>
          <w:sz w:val="24"/>
          <w:szCs w:val="24"/>
        </w:rPr>
        <w:t xml:space="preserve">. </w:t>
      </w:r>
    </w:p>
    <w:p w14:paraId="4F7FCCAC" w14:textId="77777777" w:rsidR="0012549D" w:rsidRDefault="0012549D">
      <w:pPr>
        <w:spacing w:line="480" w:lineRule="auto"/>
        <w:rPr>
          <w:rFonts w:ascii="Calibri" w:eastAsia="Calibri" w:hAnsi="Calibri" w:cs="Calibri"/>
          <w:sz w:val="24"/>
          <w:szCs w:val="24"/>
        </w:rPr>
      </w:pPr>
    </w:p>
    <w:p w14:paraId="74DBC709" w14:textId="127CB0FD"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Lifelong glucocorticoid (GC) replacement is essential for individuals with classic 21-OHD. Standard treatment includes the use of GCs including, hydrocortisone, prednisolone or dexamethasone, which serve to replace cortisol and suppress excess adrenal androgen production via negative feedback on the hypothalamic–pituitary–adrenal (HPA) axis</w:t>
      </w:r>
      <w:r>
        <w:rPr>
          <w:rFonts w:ascii="Calibri" w:eastAsia="Calibri" w:hAnsi="Calibri" w:cs="Calibri"/>
          <w:sz w:val="24"/>
          <w:szCs w:val="24"/>
          <w:vertAlign w:val="superscript"/>
        </w:rPr>
        <w:t>3</w:t>
      </w:r>
      <w:r>
        <w:rPr>
          <w:rFonts w:ascii="Calibri" w:eastAsia="Calibri" w:hAnsi="Calibri" w:cs="Calibri"/>
          <w:sz w:val="24"/>
          <w:szCs w:val="24"/>
        </w:rPr>
        <w:t xml:space="preserve">. Dosing regimens are individualised based on the patient's age, physical characteristics, disease severity, and therapeutic response. The treatment goal is to restore physiological cortisol concentrations while suppressing androgens to within normal ranges. However, achieving this balance remains clinically challenging </w:t>
      </w:r>
      <w:r>
        <w:rPr>
          <w:rFonts w:ascii="Calibri" w:eastAsia="Calibri" w:hAnsi="Calibri" w:cs="Calibri"/>
          <w:sz w:val="24"/>
          <w:szCs w:val="24"/>
          <w:vertAlign w:val="superscript"/>
        </w:rPr>
        <w:t>4</w:t>
      </w:r>
      <w:r>
        <w:rPr>
          <w:rFonts w:ascii="Calibri" w:eastAsia="Calibri" w:hAnsi="Calibri" w:cs="Calibri"/>
          <w:sz w:val="24"/>
          <w:szCs w:val="24"/>
        </w:rPr>
        <w:t xml:space="preserve">. </w:t>
      </w:r>
    </w:p>
    <w:p w14:paraId="2E6F9B55" w14:textId="77777777" w:rsidR="0012549D" w:rsidRDefault="0012549D">
      <w:pPr>
        <w:spacing w:line="480" w:lineRule="auto"/>
        <w:jc w:val="both"/>
        <w:rPr>
          <w:rFonts w:ascii="Calibri" w:eastAsia="Calibri" w:hAnsi="Calibri" w:cs="Calibri"/>
          <w:sz w:val="24"/>
          <w:szCs w:val="24"/>
        </w:rPr>
      </w:pPr>
    </w:p>
    <w:p w14:paraId="0AA6D77C" w14:textId="77777777"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 xml:space="preserve">Management is further complicated by factors such as intercurrent illness, physical stress, growth spurts, and puberty, particularly in paediatric populations </w:t>
      </w:r>
      <w:r>
        <w:rPr>
          <w:rFonts w:ascii="Calibri" w:eastAsia="Calibri" w:hAnsi="Calibri" w:cs="Calibri"/>
          <w:sz w:val="24"/>
          <w:szCs w:val="24"/>
          <w:vertAlign w:val="superscript"/>
        </w:rPr>
        <w:t>1</w:t>
      </w:r>
      <w:r>
        <w:rPr>
          <w:rFonts w:ascii="Calibri" w:eastAsia="Calibri" w:hAnsi="Calibri" w:cs="Calibri"/>
          <w:sz w:val="24"/>
          <w:szCs w:val="24"/>
        </w:rPr>
        <w:t xml:space="preserve">. Dexamethasone was introduced in CAH management in 1971, while HC and prednisolone have been in use since the 1950s </w:t>
      </w:r>
      <w:r>
        <w:rPr>
          <w:rFonts w:ascii="Calibri" w:eastAsia="Calibri" w:hAnsi="Calibri" w:cs="Calibri"/>
          <w:sz w:val="24"/>
          <w:szCs w:val="24"/>
          <w:vertAlign w:val="superscript"/>
        </w:rPr>
        <w:t>5-7</w:t>
      </w:r>
      <w:r>
        <w:rPr>
          <w:rFonts w:ascii="Calibri" w:eastAsia="Calibri" w:hAnsi="Calibri" w:cs="Calibri"/>
          <w:sz w:val="24"/>
          <w:szCs w:val="24"/>
        </w:rPr>
        <w:t xml:space="preserve">. HC remains the cornerstone of replacement therapy for growing children, frequently administered as a thrice-daily immediate-release formulation. However, there are currently no standardised treatment guidelines for adults </w:t>
      </w:r>
      <w:r>
        <w:rPr>
          <w:rFonts w:ascii="Calibri" w:eastAsia="Calibri" w:hAnsi="Calibri" w:cs="Calibri"/>
          <w:sz w:val="24"/>
          <w:szCs w:val="24"/>
          <w:vertAlign w:val="superscript"/>
        </w:rPr>
        <w:t>4</w:t>
      </w:r>
      <w:r>
        <w:rPr>
          <w:rFonts w:ascii="Calibri" w:eastAsia="Calibri" w:hAnsi="Calibri" w:cs="Calibri"/>
          <w:sz w:val="24"/>
          <w:szCs w:val="24"/>
        </w:rPr>
        <w:t xml:space="preserve">. The lack of robust comparative studies evaluating different GC regimens has led to variability in prescribing practices across different providers and regions </w:t>
      </w:r>
      <w:r>
        <w:rPr>
          <w:rFonts w:ascii="Calibri" w:eastAsia="Calibri" w:hAnsi="Calibri" w:cs="Calibri"/>
          <w:sz w:val="24"/>
          <w:szCs w:val="24"/>
          <w:vertAlign w:val="superscript"/>
        </w:rPr>
        <w:t>8,9</w:t>
      </w:r>
      <w:r>
        <w:rPr>
          <w:rFonts w:ascii="Calibri" w:eastAsia="Calibri" w:hAnsi="Calibri" w:cs="Calibri"/>
          <w:sz w:val="24"/>
          <w:szCs w:val="24"/>
        </w:rPr>
        <w:t>.</w:t>
      </w:r>
    </w:p>
    <w:p w14:paraId="3DA56E17" w14:textId="77777777" w:rsidR="0012549D" w:rsidRDefault="0012549D">
      <w:pPr>
        <w:spacing w:line="480" w:lineRule="auto"/>
        <w:jc w:val="both"/>
        <w:rPr>
          <w:rFonts w:ascii="Calibri" w:eastAsia="Calibri" w:hAnsi="Calibri" w:cs="Calibri"/>
          <w:sz w:val="24"/>
          <w:szCs w:val="24"/>
        </w:rPr>
      </w:pPr>
    </w:p>
    <w:p w14:paraId="0E7D2B1F" w14:textId="3FC31F0A"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 xml:space="preserve">Conventional GC therapies do not accurately replicate the body's natural circadian rhythm of cortisol secretion due to its short half-life and non-physiological dosing. This results in periods of overtreatment, causing adrenal hormone </w:t>
      </w:r>
      <w:proofErr w:type="spellStart"/>
      <w:r>
        <w:rPr>
          <w:rFonts w:ascii="Calibri" w:eastAsia="Calibri" w:hAnsi="Calibri" w:cs="Calibri"/>
          <w:sz w:val="24"/>
          <w:szCs w:val="24"/>
        </w:rPr>
        <w:t>oversuppression</w:t>
      </w:r>
      <w:proofErr w:type="spellEnd"/>
      <w:r>
        <w:rPr>
          <w:rFonts w:ascii="Calibri" w:eastAsia="Calibri" w:hAnsi="Calibri" w:cs="Calibri"/>
          <w:sz w:val="24"/>
          <w:szCs w:val="24"/>
        </w:rPr>
        <w:t xml:space="preserve">, or undertreatment, leading to hyperandrogenism, in both children and adults </w:t>
      </w:r>
      <w:r>
        <w:rPr>
          <w:rFonts w:ascii="Calibri" w:eastAsia="Calibri" w:hAnsi="Calibri" w:cs="Calibri"/>
          <w:sz w:val="24"/>
          <w:szCs w:val="24"/>
          <w:vertAlign w:val="superscript"/>
        </w:rPr>
        <w:t>4,10</w:t>
      </w:r>
      <w:r>
        <w:rPr>
          <w:rFonts w:ascii="Calibri" w:eastAsia="Calibri" w:hAnsi="Calibri" w:cs="Calibri"/>
          <w:sz w:val="24"/>
          <w:szCs w:val="24"/>
        </w:rPr>
        <w:t xml:space="preserve">. Two large cohort studies found that only one-third of the study population had normal serum androstenedione levels </w:t>
      </w:r>
      <w:r>
        <w:rPr>
          <w:rFonts w:ascii="Calibri" w:eastAsia="Calibri" w:hAnsi="Calibri" w:cs="Calibri"/>
          <w:sz w:val="24"/>
          <w:szCs w:val="24"/>
          <w:vertAlign w:val="superscript"/>
        </w:rPr>
        <w:t>10,11</w:t>
      </w:r>
      <w:r>
        <w:rPr>
          <w:rFonts w:ascii="Calibri" w:eastAsia="Calibri" w:hAnsi="Calibri" w:cs="Calibri"/>
          <w:sz w:val="24"/>
          <w:szCs w:val="24"/>
        </w:rPr>
        <w:t xml:space="preserve">, with high rates of associated health complications, including hypertension, obesity, subfertility, and hirsutism present </w:t>
      </w:r>
      <w:r>
        <w:rPr>
          <w:rFonts w:ascii="Calibri" w:eastAsia="Calibri" w:hAnsi="Calibri" w:cs="Calibri"/>
          <w:sz w:val="24"/>
          <w:szCs w:val="24"/>
          <w:vertAlign w:val="superscript"/>
        </w:rPr>
        <w:t>12</w:t>
      </w:r>
      <w:r>
        <w:rPr>
          <w:rFonts w:ascii="Calibri" w:eastAsia="Calibri" w:hAnsi="Calibri" w:cs="Calibri"/>
          <w:sz w:val="24"/>
          <w:szCs w:val="24"/>
        </w:rPr>
        <w:t xml:space="preserve">. Additional studies confirm that prolonged exposure to supraphysiologic </w:t>
      </w:r>
      <w:r w:rsidR="00280BFE">
        <w:rPr>
          <w:rFonts w:ascii="Calibri" w:eastAsia="Calibri" w:hAnsi="Calibri" w:cs="Calibri"/>
          <w:sz w:val="24"/>
          <w:szCs w:val="24"/>
        </w:rPr>
        <w:t xml:space="preserve">GC </w:t>
      </w:r>
      <w:r>
        <w:rPr>
          <w:rFonts w:ascii="Calibri" w:eastAsia="Calibri" w:hAnsi="Calibri" w:cs="Calibri"/>
          <w:sz w:val="24"/>
          <w:szCs w:val="24"/>
        </w:rPr>
        <w:t xml:space="preserve">doses correlates with adverse metabolic outcomes. In a Swedish cohort, </w:t>
      </w:r>
      <w:proofErr w:type="spellStart"/>
      <w:r>
        <w:rPr>
          <w:rFonts w:ascii="Calibri" w:eastAsia="Calibri" w:hAnsi="Calibri" w:cs="Calibri"/>
          <w:sz w:val="24"/>
          <w:szCs w:val="24"/>
        </w:rPr>
        <w:t>Falhammer</w:t>
      </w:r>
      <w:proofErr w:type="spellEnd"/>
      <w:r>
        <w:rPr>
          <w:rFonts w:ascii="Calibri" w:eastAsia="Calibri" w:hAnsi="Calibri" w:cs="Calibri"/>
          <w:sz w:val="24"/>
          <w:szCs w:val="24"/>
        </w:rPr>
        <w:t xml:space="preserve"> </w:t>
      </w:r>
      <w:r>
        <w:rPr>
          <w:rFonts w:ascii="Calibri" w:eastAsia="Calibri" w:hAnsi="Calibri" w:cs="Calibri"/>
          <w:i/>
          <w:sz w:val="24"/>
          <w:szCs w:val="24"/>
        </w:rPr>
        <w:t xml:space="preserve">et al. </w:t>
      </w:r>
      <w:r>
        <w:rPr>
          <w:rFonts w:ascii="Calibri" w:eastAsia="Calibri" w:hAnsi="Calibri" w:cs="Calibri"/>
          <w:sz w:val="24"/>
          <w:szCs w:val="24"/>
        </w:rPr>
        <w:t xml:space="preserve">reported higher rates of hypertension, obesity, </w:t>
      </w:r>
      <w:proofErr w:type="spellStart"/>
      <w:r>
        <w:rPr>
          <w:rFonts w:ascii="Calibri" w:eastAsia="Calibri" w:hAnsi="Calibri" w:cs="Calibri"/>
          <w:sz w:val="24"/>
          <w:szCs w:val="24"/>
        </w:rPr>
        <w:t>dyslipidemia</w:t>
      </w:r>
      <w:proofErr w:type="spellEnd"/>
      <w:r>
        <w:rPr>
          <w:rFonts w:ascii="Calibri" w:eastAsia="Calibri" w:hAnsi="Calibri" w:cs="Calibri"/>
          <w:sz w:val="24"/>
          <w:szCs w:val="24"/>
        </w:rPr>
        <w:t xml:space="preserve">, and diabetes in 588 CAH patients compared to controls </w:t>
      </w:r>
      <w:r>
        <w:rPr>
          <w:rFonts w:ascii="Calibri" w:eastAsia="Calibri" w:hAnsi="Calibri" w:cs="Calibri"/>
          <w:sz w:val="24"/>
          <w:szCs w:val="24"/>
          <w:vertAlign w:val="superscript"/>
        </w:rPr>
        <w:t>13,14</w:t>
      </w:r>
      <w:r>
        <w:rPr>
          <w:rFonts w:ascii="Calibri" w:eastAsia="Calibri" w:hAnsi="Calibri" w:cs="Calibri"/>
          <w:sz w:val="24"/>
          <w:szCs w:val="24"/>
        </w:rPr>
        <w:t>. Similarly, the UK Congenital Adrenal Hyperplasia Adult Study Executive (</w:t>
      </w:r>
      <w:proofErr w:type="spellStart"/>
      <w:r>
        <w:rPr>
          <w:rFonts w:ascii="Calibri" w:eastAsia="Calibri" w:hAnsi="Calibri" w:cs="Calibri"/>
          <w:sz w:val="24"/>
          <w:szCs w:val="24"/>
        </w:rPr>
        <w:t>CaHASE</w:t>
      </w:r>
      <w:proofErr w:type="spellEnd"/>
      <w:r>
        <w:rPr>
          <w:rFonts w:ascii="Calibri" w:eastAsia="Calibri" w:hAnsi="Calibri" w:cs="Calibri"/>
          <w:sz w:val="24"/>
          <w:szCs w:val="24"/>
        </w:rPr>
        <w:t xml:space="preserve">) study found that CAH patients had significantly higher BMI and reduced adult height </w:t>
      </w:r>
      <w:r>
        <w:rPr>
          <w:rFonts w:ascii="Calibri" w:eastAsia="Calibri" w:hAnsi="Calibri" w:cs="Calibri"/>
          <w:sz w:val="24"/>
          <w:szCs w:val="24"/>
          <w:vertAlign w:val="superscript"/>
        </w:rPr>
        <w:t>11</w:t>
      </w:r>
      <w:r>
        <w:rPr>
          <w:rFonts w:ascii="Calibri" w:eastAsia="Calibri" w:hAnsi="Calibri" w:cs="Calibri"/>
          <w:sz w:val="24"/>
          <w:szCs w:val="24"/>
        </w:rPr>
        <w:t xml:space="preserve">. </w:t>
      </w:r>
    </w:p>
    <w:p w14:paraId="72EBF1AA" w14:textId="77777777" w:rsidR="0012549D" w:rsidRDefault="0012549D">
      <w:pPr>
        <w:spacing w:line="480" w:lineRule="auto"/>
        <w:jc w:val="both"/>
        <w:rPr>
          <w:rFonts w:ascii="Calibri" w:eastAsia="Calibri" w:hAnsi="Calibri" w:cs="Calibri"/>
          <w:sz w:val="24"/>
          <w:szCs w:val="24"/>
        </w:rPr>
      </w:pPr>
    </w:p>
    <w:p w14:paraId="60A309CE" w14:textId="77777777"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 xml:space="preserve">Beyond physical health, current treatment limitations negatively affect psychological well-being. Individuals with CAH often report a lower quality of life (QoL) and poorer body image compared to non-CAH peers </w:t>
      </w:r>
      <w:r>
        <w:rPr>
          <w:rFonts w:ascii="Calibri" w:eastAsia="Calibri" w:hAnsi="Calibri" w:cs="Calibri"/>
          <w:sz w:val="24"/>
          <w:szCs w:val="24"/>
          <w:vertAlign w:val="superscript"/>
        </w:rPr>
        <w:t>15,16</w:t>
      </w:r>
      <w:r>
        <w:rPr>
          <w:rFonts w:ascii="Calibri" w:eastAsia="Calibri" w:hAnsi="Calibri" w:cs="Calibri"/>
          <w:sz w:val="24"/>
          <w:szCs w:val="24"/>
        </w:rPr>
        <w:t>. These findings underscore the need for improved therapeutic strategies and modern medication options.</w:t>
      </w:r>
    </w:p>
    <w:p w14:paraId="69BC1833" w14:textId="77777777" w:rsidR="0012549D" w:rsidRDefault="0012549D">
      <w:pPr>
        <w:spacing w:line="480" w:lineRule="auto"/>
        <w:jc w:val="both"/>
        <w:rPr>
          <w:rFonts w:ascii="Calibri" w:eastAsia="Calibri" w:hAnsi="Calibri" w:cs="Calibri"/>
          <w:b/>
          <w:sz w:val="24"/>
          <w:szCs w:val="24"/>
          <w:u w:val="single"/>
        </w:rPr>
      </w:pPr>
    </w:p>
    <w:p w14:paraId="6FF939BC" w14:textId="3B8A9D12"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 xml:space="preserve">Recent advancements in CAH management include the development of innovative steroid replacement medications. For this study, “modern </w:t>
      </w:r>
      <w:r w:rsidR="00280BFE">
        <w:rPr>
          <w:rFonts w:ascii="Calibri" w:eastAsia="Calibri" w:hAnsi="Calibri" w:cs="Calibri"/>
          <w:sz w:val="24"/>
          <w:szCs w:val="24"/>
        </w:rPr>
        <w:t xml:space="preserve">GC </w:t>
      </w:r>
      <w:r>
        <w:rPr>
          <w:rFonts w:ascii="Calibri" w:eastAsia="Calibri" w:hAnsi="Calibri" w:cs="Calibri"/>
          <w:sz w:val="24"/>
          <w:szCs w:val="24"/>
        </w:rPr>
        <w:t xml:space="preserve">medications” refers to agents other than standard HC, dexamethasone, and prednisolone. Specifically, we define this group to include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(also known as </w:t>
      </w:r>
      <w:proofErr w:type="spellStart"/>
      <w:r>
        <w:rPr>
          <w:rFonts w:ascii="Calibri" w:eastAsia="Calibri" w:hAnsi="Calibri" w:cs="Calibri"/>
          <w:sz w:val="24"/>
          <w:szCs w:val="24"/>
        </w:rPr>
        <w:t>Chronocort</w:t>
      </w:r>
      <w:proofErr w:type="spellEnd"/>
      <w:r>
        <w:rPr>
          <w:rFonts w:ascii="Calibri" w:eastAsia="Calibri" w:hAnsi="Calibri" w:cs="Calibri"/>
          <w:sz w:val="24"/>
          <w:szCs w:val="24"/>
        </w:rPr>
        <w:t xml:space="preserve">), and Plenadren® </w:t>
      </w:r>
      <w:r>
        <w:rPr>
          <w:rFonts w:ascii="Calibri" w:eastAsia="Calibri" w:hAnsi="Calibri" w:cs="Calibri"/>
          <w:sz w:val="24"/>
          <w:szCs w:val="24"/>
          <w:vertAlign w:val="superscript"/>
        </w:rPr>
        <w:t>12</w:t>
      </w:r>
      <w:r>
        <w:rPr>
          <w:rFonts w:ascii="Calibri" w:eastAsia="Calibri" w:hAnsi="Calibri" w:cs="Calibri"/>
          <w:sz w:val="24"/>
          <w:szCs w:val="24"/>
        </w:rPr>
        <w:t xml:space="preserve">. </w:t>
      </w:r>
    </w:p>
    <w:p w14:paraId="4728E000" w14:textId="77777777" w:rsidR="0012549D" w:rsidRDefault="0012549D">
      <w:pPr>
        <w:spacing w:line="480" w:lineRule="auto"/>
        <w:jc w:val="both"/>
        <w:rPr>
          <w:rFonts w:ascii="Calibri" w:eastAsia="Calibri" w:hAnsi="Calibri" w:cs="Calibri"/>
          <w:sz w:val="24"/>
          <w:szCs w:val="24"/>
        </w:rPr>
      </w:pPr>
    </w:p>
    <w:p w14:paraId="06263FD6" w14:textId="4FB89E98" w:rsidR="0012549D" w:rsidRDefault="00000000">
      <w:pPr>
        <w:spacing w:line="480" w:lineRule="auto"/>
        <w:jc w:val="both"/>
        <w:rPr>
          <w:rFonts w:ascii="Calibri" w:eastAsia="Calibri" w:hAnsi="Calibri" w:cs="Calibri"/>
          <w:sz w:val="24"/>
          <w:szCs w:val="24"/>
        </w:rPr>
      </w:pPr>
      <w:proofErr w:type="spellStart"/>
      <w:r>
        <w:rPr>
          <w:rFonts w:ascii="Calibri" w:eastAsia="Calibri" w:hAnsi="Calibri" w:cs="Calibri"/>
          <w:sz w:val="24"/>
          <w:szCs w:val="24"/>
        </w:rPr>
        <w:lastRenderedPageBreak/>
        <w:t>Alkindi</w:t>
      </w:r>
      <w:proofErr w:type="spellEnd"/>
      <w:r>
        <w:rPr>
          <w:rFonts w:ascii="Calibri" w:eastAsia="Calibri" w:hAnsi="Calibri" w:cs="Calibri"/>
          <w:sz w:val="24"/>
          <w:szCs w:val="24"/>
        </w:rPr>
        <w:t xml:space="preserve">® granules (0.5, 1, 2, and 5 mg) and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tablets (1, 2, 3, 5 and 10 mg) provide smaller dosing increments which allow more precise dosing in infants and young children, reducing the risks of adrenal crises and growth disturbances associated with inconsistent dosing </w:t>
      </w:r>
      <w:r>
        <w:rPr>
          <w:rFonts w:ascii="Calibri" w:eastAsia="Calibri" w:hAnsi="Calibri" w:cs="Calibri"/>
          <w:sz w:val="24"/>
          <w:szCs w:val="24"/>
          <w:vertAlign w:val="superscript"/>
        </w:rPr>
        <w:t>17-19</w:t>
      </w:r>
      <w:r>
        <w:rPr>
          <w:rFonts w:ascii="Calibri" w:eastAsia="Calibri" w:hAnsi="Calibri" w:cs="Calibri"/>
          <w:sz w:val="24"/>
          <w:szCs w:val="24"/>
        </w:rPr>
        <w:t>. Two modified-release HC preparations—</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and Plenadren®—have been developed to mimic natural diurnal cortisol rhythms more effectively </w:t>
      </w:r>
      <w:r>
        <w:rPr>
          <w:rFonts w:ascii="Calibri" w:eastAsia="Calibri" w:hAnsi="Calibri" w:cs="Calibri"/>
          <w:sz w:val="24"/>
          <w:szCs w:val="24"/>
          <w:vertAlign w:val="superscript"/>
        </w:rPr>
        <w:t>12</w:t>
      </w:r>
      <w:r>
        <w:rPr>
          <w:rFonts w:ascii="Calibri" w:eastAsia="Calibri" w:hAnsi="Calibri" w:cs="Calibri"/>
          <w:sz w:val="24"/>
          <w:szCs w:val="24"/>
        </w:rPr>
        <w:t xml:space="preserve">. However, it is important to note that Plenadren is currently approved only for Addison’s disease and secondary adrenal insufficiency, not CAH </w:t>
      </w:r>
      <w:r>
        <w:rPr>
          <w:rFonts w:ascii="Calibri" w:eastAsia="Calibri" w:hAnsi="Calibri" w:cs="Calibri"/>
          <w:sz w:val="24"/>
          <w:szCs w:val="24"/>
          <w:vertAlign w:val="superscript"/>
        </w:rPr>
        <w:t>2</w:t>
      </w:r>
      <w:r>
        <w:rPr>
          <w:rFonts w:ascii="Calibri" w:eastAsia="Calibri" w:hAnsi="Calibri" w:cs="Calibri"/>
          <w:sz w:val="24"/>
          <w:szCs w:val="24"/>
        </w:rPr>
        <w:t xml:space="preserve">. However, it is noted that the availability of these modern </w:t>
      </w:r>
      <w:r w:rsidR="00280BFE">
        <w:rPr>
          <w:rFonts w:ascii="Calibri" w:eastAsia="Calibri" w:hAnsi="Calibri" w:cs="Calibri"/>
          <w:sz w:val="24"/>
          <w:szCs w:val="24"/>
        </w:rPr>
        <w:t>GC</w:t>
      </w:r>
      <w:r w:rsidR="0092601B">
        <w:rPr>
          <w:rFonts w:ascii="Calibri" w:eastAsia="Calibri" w:hAnsi="Calibri" w:cs="Calibri"/>
          <w:sz w:val="24"/>
          <w:szCs w:val="24"/>
        </w:rPr>
        <w:t xml:space="preserve"> </w:t>
      </w:r>
      <w:r>
        <w:rPr>
          <w:rFonts w:ascii="Calibri" w:eastAsia="Calibri" w:hAnsi="Calibri" w:cs="Calibri"/>
          <w:sz w:val="24"/>
          <w:szCs w:val="24"/>
        </w:rPr>
        <w:t xml:space="preserve">medications for patients varies across countries and between </w:t>
      </w:r>
      <w:proofErr w:type="gramStart"/>
      <w:r>
        <w:rPr>
          <w:rFonts w:ascii="Calibri" w:eastAsia="Calibri" w:hAnsi="Calibri" w:cs="Calibri"/>
          <w:sz w:val="24"/>
          <w:szCs w:val="24"/>
        </w:rPr>
        <w:t xml:space="preserve">centres  </w:t>
      </w:r>
      <w:r>
        <w:rPr>
          <w:rFonts w:ascii="Calibri" w:eastAsia="Calibri" w:hAnsi="Calibri" w:cs="Calibri"/>
          <w:sz w:val="24"/>
          <w:szCs w:val="24"/>
          <w:vertAlign w:val="superscript"/>
        </w:rPr>
        <w:t>8</w:t>
      </w:r>
      <w:proofErr w:type="gramEnd"/>
      <w:r>
        <w:rPr>
          <w:rFonts w:ascii="Calibri" w:eastAsia="Calibri" w:hAnsi="Calibri" w:cs="Calibri"/>
          <w:sz w:val="24"/>
          <w:szCs w:val="24"/>
          <w:vertAlign w:val="superscript"/>
        </w:rPr>
        <w:t>, 24</w:t>
      </w:r>
      <w:r>
        <w:rPr>
          <w:rFonts w:ascii="Calibri" w:eastAsia="Calibri" w:hAnsi="Calibri" w:cs="Calibri"/>
          <w:sz w:val="24"/>
          <w:szCs w:val="24"/>
        </w:rPr>
        <w:t>.</w:t>
      </w:r>
    </w:p>
    <w:p w14:paraId="046BB46F" w14:textId="77777777" w:rsidR="0012549D" w:rsidRDefault="0012549D">
      <w:pPr>
        <w:pBdr>
          <w:top w:val="nil"/>
          <w:left w:val="nil"/>
          <w:bottom w:val="nil"/>
          <w:right w:val="nil"/>
          <w:between w:val="nil"/>
        </w:pBdr>
        <w:spacing w:line="480" w:lineRule="auto"/>
        <w:jc w:val="both"/>
        <w:rPr>
          <w:rFonts w:ascii="Calibri" w:eastAsia="Calibri" w:hAnsi="Calibri" w:cs="Calibri"/>
          <w:sz w:val="24"/>
          <w:szCs w:val="24"/>
        </w:rPr>
      </w:pPr>
    </w:p>
    <w:p w14:paraId="32F5C8F0" w14:textId="77777777" w:rsidR="0012549D" w:rsidRDefault="00000000">
      <w:pPr>
        <w:pBdr>
          <w:top w:val="nil"/>
          <w:left w:val="nil"/>
          <w:bottom w:val="nil"/>
          <w:right w:val="nil"/>
          <w:between w:val="nil"/>
        </w:pBdr>
        <w:spacing w:line="480" w:lineRule="auto"/>
        <w:jc w:val="both"/>
        <w:rPr>
          <w:rFonts w:ascii="Calibri" w:eastAsia="Calibri" w:hAnsi="Calibri" w:cs="Calibri"/>
          <w:sz w:val="24"/>
          <w:szCs w:val="24"/>
        </w:rPr>
      </w:pPr>
      <w:r>
        <w:rPr>
          <w:rFonts w:ascii="Calibri" w:eastAsia="Calibri" w:hAnsi="Calibri" w:cs="Calibri"/>
          <w:sz w:val="24"/>
          <w:szCs w:val="24"/>
        </w:rPr>
        <w:t>This international study, encompassing data from 46 CAH centres worldwide, aims to:</w:t>
      </w:r>
    </w:p>
    <w:p w14:paraId="1A2A6506" w14:textId="77777777" w:rsidR="0012549D" w:rsidRDefault="00000000">
      <w:pPr>
        <w:numPr>
          <w:ilvl w:val="0"/>
          <w:numId w:val="1"/>
        </w:numPr>
        <w:spacing w:line="480" w:lineRule="auto"/>
        <w:jc w:val="both"/>
        <w:rPr>
          <w:rFonts w:ascii="Calibri" w:eastAsia="Calibri" w:hAnsi="Calibri" w:cs="Calibri"/>
          <w:sz w:val="24"/>
          <w:szCs w:val="24"/>
        </w:rPr>
      </w:pPr>
      <w:r>
        <w:rPr>
          <w:rFonts w:ascii="Calibri" w:eastAsia="Calibri" w:hAnsi="Calibri" w:cs="Calibri"/>
          <w:sz w:val="24"/>
          <w:szCs w:val="24"/>
        </w:rPr>
        <w:t>Explore the range of GC preparations currently being prescribed for both paediatric and adult patients.</w:t>
      </w:r>
    </w:p>
    <w:p w14:paraId="677255BE" w14:textId="77777777" w:rsidR="0012549D" w:rsidRDefault="00000000">
      <w:pPr>
        <w:numPr>
          <w:ilvl w:val="0"/>
          <w:numId w:val="1"/>
        </w:numPr>
        <w:spacing w:line="480" w:lineRule="auto"/>
        <w:jc w:val="both"/>
        <w:rPr>
          <w:rFonts w:ascii="Calibri" w:eastAsia="Calibri" w:hAnsi="Calibri" w:cs="Calibri"/>
          <w:sz w:val="24"/>
          <w:szCs w:val="24"/>
        </w:rPr>
      </w:pPr>
      <w:r>
        <w:rPr>
          <w:rFonts w:ascii="Calibri" w:eastAsia="Calibri" w:hAnsi="Calibri" w:cs="Calibri"/>
          <w:sz w:val="24"/>
          <w:szCs w:val="24"/>
        </w:rPr>
        <w:t>Identify potential barriers to prescribing modern GC medications.</w:t>
      </w:r>
    </w:p>
    <w:p w14:paraId="28504D91" w14:textId="77777777" w:rsidR="0012549D" w:rsidRDefault="00000000">
      <w:pPr>
        <w:numPr>
          <w:ilvl w:val="0"/>
          <w:numId w:val="1"/>
        </w:numPr>
        <w:spacing w:line="480" w:lineRule="auto"/>
        <w:jc w:val="both"/>
        <w:rPr>
          <w:rFonts w:ascii="Calibri" w:eastAsia="Calibri" w:hAnsi="Calibri" w:cs="Calibri"/>
          <w:sz w:val="24"/>
          <w:szCs w:val="24"/>
        </w:rPr>
      </w:pPr>
      <w:r>
        <w:rPr>
          <w:rFonts w:ascii="Calibri" w:eastAsia="Calibri" w:hAnsi="Calibri" w:cs="Calibri"/>
          <w:sz w:val="24"/>
          <w:szCs w:val="24"/>
        </w:rPr>
        <w:t>Examine geographical and temporal trends in GC prescribing practices from 2017 to 2023.</w:t>
      </w:r>
    </w:p>
    <w:p w14:paraId="2BBC6A9A" w14:textId="77777777" w:rsidR="0012549D" w:rsidRDefault="0012549D">
      <w:pPr>
        <w:spacing w:line="480" w:lineRule="auto"/>
        <w:jc w:val="both"/>
        <w:rPr>
          <w:rFonts w:ascii="Calibri" w:eastAsia="Calibri" w:hAnsi="Calibri" w:cs="Calibri"/>
          <w:b/>
          <w:sz w:val="28"/>
          <w:szCs w:val="28"/>
        </w:rPr>
      </w:pPr>
    </w:p>
    <w:p w14:paraId="76524EE3" w14:textId="77777777" w:rsidR="0012549D" w:rsidRDefault="00000000">
      <w:pPr>
        <w:spacing w:line="480" w:lineRule="auto"/>
        <w:jc w:val="both"/>
        <w:rPr>
          <w:rFonts w:ascii="Calibri" w:eastAsia="Calibri" w:hAnsi="Calibri" w:cs="Calibri"/>
          <w:b/>
          <w:sz w:val="28"/>
          <w:szCs w:val="28"/>
        </w:rPr>
      </w:pPr>
      <w:r>
        <w:rPr>
          <w:rFonts w:ascii="Calibri" w:eastAsia="Calibri" w:hAnsi="Calibri" w:cs="Calibri"/>
          <w:b/>
          <w:sz w:val="28"/>
          <w:szCs w:val="28"/>
        </w:rPr>
        <w:t>Patients and Methods</w:t>
      </w:r>
    </w:p>
    <w:p w14:paraId="4EA95C77" w14:textId="77777777"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t>This study comprised two complementary components: a retrospective analysis of prescribing trends and a qualitative survey of clinical practice.</w:t>
      </w:r>
    </w:p>
    <w:p w14:paraId="524D20C3" w14:textId="77777777" w:rsidR="0012549D" w:rsidRDefault="00000000">
      <w:pPr>
        <w:spacing w:before="240" w:after="240" w:line="480" w:lineRule="auto"/>
        <w:jc w:val="both"/>
        <w:rPr>
          <w:rFonts w:ascii="Calibri" w:eastAsia="Calibri" w:hAnsi="Calibri" w:cs="Calibri"/>
          <w:b/>
          <w:sz w:val="28"/>
          <w:szCs w:val="28"/>
        </w:rPr>
      </w:pPr>
      <w:r>
        <w:rPr>
          <w:rFonts w:ascii="Calibri" w:eastAsia="Calibri" w:hAnsi="Calibri" w:cs="Calibri"/>
          <w:b/>
          <w:sz w:val="28"/>
          <w:szCs w:val="28"/>
        </w:rPr>
        <w:t>Retrospective Registry Analysis</w:t>
      </w:r>
    </w:p>
    <w:p w14:paraId="73EEC961" w14:textId="77777777"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The retrospective component utilised data from the International Congenital Adrenal Hyperplasia (I-CAH) Registry, a global, ethically approved clinical database that captures pseudonymised information on patients with CAH. Ethical approval was granted by the UK </w:t>
      </w:r>
      <w:r>
        <w:rPr>
          <w:rFonts w:ascii="Calibri" w:eastAsia="Calibri" w:hAnsi="Calibri" w:cs="Calibri"/>
          <w:sz w:val="24"/>
          <w:szCs w:val="24"/>
        </w:rPr>
        <w:lastRenderedPageBreak/>
        <w:t>National Research Ethics Service (Reference: 19/WS/0131), and data entry is conducted by healthcare professionals following informed consent from patients or guardians. The study adhered to the principles outlined in the Declaration of Helsinki.</w:t>
      </w:r>
    </w:p>
    <w:p w14:paraId="2AB087B3" w14:textId="77777777"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Paediatric and adult patients included in this analysis were diagnosed with CAH due to 21-OHD. Extracted data included fields from both the registry’s basic module (register ID, year of birth, country, centre, disorder type, definitive diagnosis, sex assigned at birth, and age at diagnosis) and longitudinal module (date of visit, age, height, weight, body surface area, type and dosage of GC, administration timing, and reported treatment adherence).</w:t>
      </w:r>
    </w:p>
    <w:p w14:paraId="5152A270" w14:textId="77777777" w:rsidR="0012549D" w:rsidRDefault="00000000">
      <w:pPr>
        <w:pStyle w:val="Heading3"/>
        <w:keepNext w:val="0"/>
        <w:keepLines w:val="0"/>
        <w:spacing w:line="480" w:lineRule="auto"/>
        <w:jc w:val="both"/>
        <w:rPr>
          <w:rFonts w:ascii="Calibri" w:eastAsia="Calibri" w:hAnsi="Calibri" w:cs="Calibri"/>
        </w:rPr>
      </w:pPr>
      <w:bookmarkStart w:id="0" w:name="_heading=h.wsks9xffrm7o" w:colFirst="0" w:colLast="0"/>
      <w:bookmarkEnd w:id="0"/>
      <w:r>
        <w:rPr>
          <w:rFonts w:ascii="Calibri" w:eastAsia="Calibri" w:hAnsi="Calibri" w:cs="Calibri"/>
        </w:rPr>
        <w:t>Qualitative Survey</w:t>
      </w:r>
    </w:p>
    <w:p w14:paraId="6A2E764E" w14:textId="4855AECF"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A structured qualitative survey was distributed to all 46 CAH centres</w:t>
      </w:r>
      <w:r w:rsidR="004011AE">
        <w:rPr>
          <w:rFonts w:ascii="Calibri" w:eastAsia="Calibri" w:hAnsi="Calibri" w:cs="Calibri"/>
          <w:sz w:val="24"/>
          <w:szCs w:val="24"/>
        </w:rPr>
        <w:t xml:space="preserve">, located in </w:t>
      </w:r>
      <w:r w:rsidR="00927826">
        <w:rPr>
          <w:rFonts w:ascii="Calibri" w:eastAsia="Calibri" w:hAnsi="Calibri" w:cs="Calibri"/>
          <w:sz w:val="24"/>
          <w:szCs w:val="24"/>
        </w:rPr>
        <w:t>20</w:t>
      </w:r>
      <w:r w:rsidR="004011AE">
        <w:rPr>
          <w:rFonts w:ascii="Calibri" w:eastAsia="Calibri" w:hAnsi="Calibri" w:cs="Calibri"/>
          <w:sz w:val="24"/>
          <w:szCs w:val="24"/>
        </w:rPr>
        <w:t xml:space="preserve"> countries</w:t>
      </w:r>
      <w:r>
        <w:rPr>
          <w:rFonts w:ascii="Calibri" w:eastAsia="Calibri" w:hAnsi="Calibri" w:cs="Calibri"/>
          <w:sz w:val="24"/>
          <w:szCs w:val="24"/>
        </w:rPr>
        <w:t xml:space="preserve"> contributing to the registry to explore the availability of modern GC medications and perceived barriers to their use. Centres were categorised by country income level using the World Bank’s World Development Indicators </w:t>
      </w:r>
      <w:r>
        <w:rPr>
          <w:rFonts w:ascii="Calibri" w:eastAsia="Calibri" w:hAnsi="Calibri" w:cs="Calibri"/>
          <w:sz w:val="24"/>
          <w:szCs w:val="24"/>
          <w:vertAlign w:val="superscript"/>
        </w:rPr>
        <w:t>21</w:t>
      </w:r>
      <w:r>
        <w:rPr>
          <w:rFonts w:ascii="Calibri" w:eastAsia="Calibri" w:hAnsi="Calibri" w:cs="Calibri"/>
          <w:sz w:val="24"/>
          <w:szCs w:val="24"/>
        </w:rPr>
        <w:t>. Survey items addressed regulatory, economic, logistical, and clinical factors affecting the adoption of modern GCs.</w:t>
      </w:r>
    </w:p>
    <w:p w14:paraId="137D8374" w14:textId="77777777" w:rsidR="0012549D" w:rsidRDefault="00000000">
      <w:pPr>
        <w:pStyle w:val="Heading3"/>
        <w:keepNext w:val="0"/>
        <w:keepLines w:val="0"/>
        <w:spacing w:line="480" w:lineRule="auto"/>
        <w:jc w:val="both"/>
        <w:rPr>
          <w:rFonts w:ascii="Calibri" w:eastAsia="Calibri" w:hAnsi="Calibri" w:cs="Calibri"/>
        </w:rPr>
      </w:pPr>
      <w:bookmarkStart w:id="1" w:name="_heading=h.dpxhwgvhb8kn" w:colFirst="0" w:colLast="0"/>
      <w:bookmarkEnd w:id="1"/>
      <w:r>
        <w:rPr>
          <w:rFonts w:ascii="Calibri" w:eastAsia="Calibri" w:hAnsi="Calibri" w:cs="Calibri"/>
        </w:rPr>
        <w:t>Data Analysis</w:t>
      </w:r>
    </w:p>
    <w:p w14:paraId="5128A8F2" w14:textId="77777777"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Quantitative data from the registry were analysed using the R programming language. Descriptive statistics were used to summarise patient demographics and GC prescribing patterns. The number and percentage of patients prescribed modern versus traditional GCs were analysed by year, age group, and country. The availability of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and Plenadren® at each centre was recorded for each year between 2017 and 2023.</w:t>
      </w:r>
    </w:p>
    <w:p w14:paraId="1FE62169" w14:textId="23AD22CC"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lastRenderedPageBreak/>
        <w:t>Qualitative survey responses were categorised thematically (e.g., cost, approval, supply chain, awareness</w:t>
      </w:r>
      <w:proofErr w:type="gramStart"/>
      <w:r>
        <w:rPr>
          <w:rFonts w:ascii="Calibri" w:eastAsia="Calibri" w:hAnsi="Calibri" w:cs="Calibri"/>
          <w:sz w:val="24"/>
          <w:szCs w:val="24"/>
        </w:rPr>
        <w:t>), and</w:t>
      </w:r>
      <w:proofErr w:type="gramEnd"/>
      <w:r>
        <w:rPr>
          <w:rFonts w:ascii="Calibri" w:eastAsia="Calibri" w:hAnsi="Calibri" w:cs="Calibri"/>
          <w:sz w:val="24"/>
          <w:szCs w:val="24"/>
        </w:rPr>
        <w:t xml:space="preserve"> summarised using frequency counts.</w:t>
      </w:r>
      <w:r w:rsidR="00D361C1">
        <w:rPr>
          <w:rFonts w:ascii="Calibri" w:eastAsia="Calibri" w:hAnsi="Calibri" w:cs="Calibri"/>
          <w:sz w:val="24"/>
          <w:szCs w:val="24"/>
        </w:rPr>
        <w:t xml:space="preserve"> </w:t>
      </w:r>
      <w:r w:rsidR="00D361C1" w:rsidRPr="00D361C1">
        <w:rPr>
          <w:rFonts w:ascii="Calibri" w:eastAsia="Calibri" w:hAnsi="Calibri" w:cs="Calibri"/>
          <w:sz w:val="24"/>
          <w:szCs w:val="24"/>
        </w:rPr>
        <w:t>Data for Gross Domestic Product (GDP) per capita was downloaded from Our World in Data (</w:t>
      </w:r>
      <w:hyperlink r:id="rId11" w:tgtFrame="_blank" w:tooltip="https://ourworldindata.org/grapher/gdp-per-capita-worldbank?tab=table&amp;overlay=download-data" w:history="1">
        <w:r w:rsidR="00D361C1" w:rsidRPr="00D361C1">
          <w:rPr>
            <w:rStyle w:val="Hyperlink"/>
            <w:rFonts w:ascii="Calibri" w:eastAsia="Calibri" w:hAnsi="Calibri" w:cs="Calibri"/>
            <w:sz w:val="24"/>
            <w:szCs w:val="24"/>
          </w:rPr>
          <w:t>https://ourworldindata.org/grapher/gdp-per-capita-worldbank?tab=table&amp;overlay=download-data</w:t>
        </w:r>
      </w:hyperlink>
      <w:r w:rsidR="00D361C1" w:rsidRPr="00D361C1">
        <w:rPr>
          <w:rFonts w:ascii="Calibri" w:eastAsia="Calibri" w:hAnsi="Calibri" w:cs="Calibri"/>
          <w:sz w:val="24"/>
          <w:szCs w:val="24"/>
        </w:rPr>
        <w:t xml:space="preserve">). A box plot was produced for GDP per capita by countries that did or did not use modern glucocorticoid medications using the </w:t>
      </w:r>
      <w:proofErr w:type="spellStart"/>
      <w:r w:rsidR="00D361C1" w:rsidRPr="00D361C1">
        <w:rPr>
          <w:rFonts w:ascii="Calibri" w:eastAsia="Calibri" w:hAnsi="Calibri" w:cs="Calibri"/>
          <w:sz w:val="24"/>
          <w:szCs w:val="24"/>
        </w:rPr>
        <w:t>ggplot</w:t>
      </w:r>
      <w:proofErr w:type="spellEnd"/>
      <w:r w:rsidR="00D361C1" w:rsidRPr="00D361C1">
        <w:rPr>
          <w:rFonts w:ascii="Calibri" w:eastAsia="Calibri" w:hAnsi="Calibri" w:cs="Calibri"/>
          <w:sz w:val="24"/>
          <w:szCs w:val="24"/>
        </w:rPr>
        <w:t xml:space="preserve"> R package. Wilcoxon signed-rank tests were calculated using the </w:t>
      </w:r>
      <w:proofErr w:type="spellStart"/>
      <w:r w:rsidR="00D361C1" w:rsidRPr="00D361C1">
        <w:rPr>
          <w:rFonts w:ascii="Calibri" w:eastAsia="Calibri" w:hAnsi="Calibri" w:cs="Calibri"/>
          <w:sz w:val="24"/>
          <w:szCs w:val="24"/>
        </w:rPr>
        <w:t>stat_compare_means</w:t>
      </w:r>
      <w:proofErr w:type="spellEnd"/>
      <w:r w:rsidR="00D361C1" w:rsidRPr="00D361C1">
        <w:rPr>
          <w:rFonts w:ascii="Calibri" w:eastAsia="Calibri" w:hAnsi="Calibri" w:cs="Calibri"/>
          <w:sz w:val="24"/>
          <w:szCs w:val="24"/>
        </w:rPr>
        <w:t xml:space="preserve"> function (</w:t>
      </w:r>
      <w:proofErr w:type="spellStart"/>
      <w:r w:rsidR="00D361C1" w:rsidRPr="00D361C1">
        <w:rPr>
          <w:rFonts w:ascii="Calibri" w:eastAsia="Calibri" w:hAnsi="Calibri" w:cs="Calibri"/>
          <w:sz w:val="24"/>
          <w:szCs w:val="24"/>
        </w:rPr>
        <w:t>ggpubr</w:t>
      </w:r>
      <w:proofErr w:type="spellEnd"/>
      <w:r w:rsidR="00D361C1" w:rsidRPr="00D361C1">
        <w:rPr>
          <w:rFonts w:ascii="Calibri" w:eastAsia="Calibri" w:hAnsi="Calibri" w:cs="Calibri"/>
          <w:sz w:val="24"/>
          <w:szCs w:val="24"/>
        </w:rPr>
        <w:t xml:space="preserve"> R package) and sample numbers were added to each group using the </w:t>
      </w:r>
      <w:proofErr w:type="spellStart"/>
      <w:r w:rsidR="00D361C1" w:rsidRPr="00D361C1">
        <w:rPr>
          <w:rFonts w:ascii="Calibri" w:eastAsia="Calibri" w:hAnsi="Calibri" w:cs="Calibri"/>
          <w:sz w:val="24"/>
          <w:szCs w:val="24"/>
        </w:rPr>
        <w:t>stat_n_text</w:t>
      </w:r>
      <w:proofErr w:type="spellEnd"/>
      <w:r w:rsidR="00D361C1" w:rsidRPr="00D361C1">
        <w:rPr>
          <w:rFonts w:ascii="Calibri" w:eastAsia="Calibri" w:hAnsi="Calibri" w:cs="Calibri"/>
          <w:sz w:val="24"/>
          <w:szCs w:val="24"/>
        </w:rPr>
        <w:t xml:space="preserve"> function (</w:t>
      </w:r>
      <w:proofErr w:type="spellStart"/>
      <w:r w:rsidR="00D361C1" w:rsidRPr="00D361C1">
        <w:rPr>
          <w:rFonts w:ascii="Calibri" w:eastAsia="Calibri" w:hAnsi="Calibri" w:cs="Calibri"/>
          <w:sz w:val="24"/>
          <w:szCs w:val="24"/>
        </w:rPr>
        <w:t>EnvStats</w:t>
      </w:r>
      <w:proofErr w:type="spellEnd"/>
      <w:r w:rsidR="00D361C1" w:rsidRPr="00D361C1">
        <w:rPr>
          <w:rFonts w:ascii="Calibri" w:eastAsia="Calibri" w:hAnsi="Calibri" w:cs="Calibri"/>
          <w:sz w:val="24"/>
          <w:szCs w:val="24"/>
        </w:rPr>
        <w:t xml:space="preserve"> R package).</w:t>
      </w:r>
    </w:p>
    <w:p w14:paraId="5A9C7649" w14:textId="77777777" w:rsidR="0012549D" w:rsidRDefault="00000000">
      <w:pPr>
        <w:spacing w:before="240" w:after="240" w:line="480" w:lineRule="auto"/>
        <w:jc w:val="both"/>
        <w:rPr>
          <w:rFonts w:ascii="Calibri" w:eastAsia="Calibri" w:hAnsi="Calibri" w:cs="Calibri"/>
          <w:b/>
          <w:sz w:val="28"/>
          <w:szCs w:val="28"/>
        </w:rPr>
      </w:pPr>
      <w:r>
        <w:rPr>
          <w:rFonts w:ascii="Calibri" w:eastAsia="Calibri" w:hAnsi="Calibri" w:cs="Calibri"/>
          <w:b/>
          <w:sz w:val="28"/>
          <w:szCs w:val="28"/>
        </w:rPr>
        <w:t>Results</w:t>
      </w:r>
    </w:p>
    <w:p w14:paraId="655F224F" w14:textId="6DE2DBD4" w:rsidR="00C47C3B" w:rsidRDefault="00C47C3B">
      <w:pPr>
        <w:spacing w:before="240" w:after="240" w:line="480" w:lineRule="auto"/>
        <w:jc w:val="both"/>
        <w:rPr>
          <w:rFonts w:ascii="Calibri" w:eastAsia="Calibri" w:hAnsi="Calibri" w:cs="Calibri"/>
          <w:b/>
          <w:sz w:val="28"/>
          <w:szCs w:val="28"/>
        </w:rPr>
      </w:pPr>
      <w:r>
        <w:rPr>
          <w:rFonts w:ascii="Calibri" w:eastAsia="Calibri" w:hAnsi="Calibri" w:cs="Calibri"/>
          <w:b/>
          <w:sz w:val="28"/>
          <w:szCs w:val="28"/>
        </w:rPr>
        <w:t>Study Summary</w:t>
      </w:r>
    </w:p>
    <w:p w14:paraId="22776FA2" w14:textId="61D792F2" w:rsidR="00C47C3B" w:rsidRDefault="00C47C3B">
      <w:pPr>
        <w:spacing w:before="240" w:after="240" w:line="480" w:lineRule="auto"/>
        <w:jc w:val="both"/>
        <w:rPr>
          <w:rFonts w:ascii="Calibri" w:eastAsia="Calibri" w:hAnsi="Calibri" w:cs="Calibri"/>
          <w:b/>
          <w:sz w:val="28"/>
          <w:szCs w:val="28"/>
        </w:rPr>
      </w:pPr>
      <w:r>
        <w:rPr>
          <w:noProof/>
        </w:rPr>
        <w:drawing>
          <wp:inline distT="0" distB="0" distL="0" distR="0" wp14:anchorId="262D27FB" wp14:editId="5B844B8C">
            <wp:extent cx="4706911" cy="2787272"/>
            <wp:effectExtent l="0" t="0" r="5080" b="0"/>
            <wp:docPr id="717561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561844" name=""/>
                    <pic:cNvPicPr/>
                  </pic:nvPicPr>
                  <pic:blipFill>
                    <a:blip r:embed="rId12"/>
                    <a:stretch>
                      <a:fillRect/>
                    </a:stretch>
                  </pic:blipFill>
                  <pic:spPr>
                    <a:xfrm>
                      <a:off x="0" y="0"/>
                      <a:ext cx="4723126" cy="2796874"/>
                    </a:xfrm>
                    <a:prstGeom prst="rect">
                      <a:avLst/>
                    </a:prstGeom>
                  </pic:spPr>
                </pic:pic>
              </a:graphicData>
            </a:graphic>
          </wp:inline>
        </w:drawing>
      </w:r>
    </w:p>
    <w:p w14:paraId="3F72B0C0" w14:textId="77777777" w:rsidR="0012549D" w:rsidRDefault="00000000">
      <w:pPr>
        <w:spacing w:line="480" w:lineRule="auto"/>
        <w:jc w:val="both"/>
        <w:rPr>
          <w:rFonts w:ascii="Calibri" w:eastAsia="Calibri" w:hAnsi="Calibri" w:cs="Calibri"/>
          <w:b/>
          <w:sz w:val="24"/>
          <w:szCs w:val="24"/>
        </w:rPr>
      </w:pPr>
      <w:r>
        <w:rPr>
          <w:rFonts w:ascii="Calibri" w:eastAsia="Calibri" w:hAnsi="Calibri" w:cs="Calibri"/>
          <w:b/>
          <w:sz w:val="24"/>
          <w:szCs w:val="24"/>
        </w:rPr>
        <w:t>Patient Demographics</w:t>
      </w:r>
    </w:p>
    <w:p w14:paraId="2DF3949C" w14:textId="77777777" w:rsidR="0012549D" w:rsidRDefault="00000000">
      <w:pPr>
        <w:spacing w:line="480" w:lineRule="auto"/>
        <w:jc w:val="both"/>
        <w:rPr>
          <w:rFonts w:ascii="Calibri" w:eastAsia="Calibri" w:hAnsi="Calibri" w:cs="Calibri"/>
          <w:sz w:val="24"/>
          <w:szCs w:val="24"/>
        </w:rPr>
      </w:pPr>
      <w:r>
        <w:rPr>
          <w:rFonts w:ascii="Calibri" w:eastAsia="Calibri" w:hAnsi="Calibri" w:cs="Calibri"/>
          <w:sz w:val="24"/>
          <w:szCs w:val="24"/>
        </w:rPr>
        <w:lastRenderedPageBreak/>
        <w:t>Data were available for 790 patients diagnosed with 21-OHD from 46 participating centres globally. Key demographic characteristics at the time of the first recorded visit are summarised in Table 1.</w:t>
      </w:r>
    </w:p>
    <w:p w14:paraId="1CE710CE" w14:textId="77777777" w:rsidR="0012549D" w:rsidRDefault="0012549D">
      <w:pPr>
        <w:spacing w:line="480" w:lineRule="auto"/>
        <w:jc w:val="both"/>
        <w:rPr>
          <w:rFonts w:ascii="Calibri" w:eastAsia="Calibri" w:hAnsi="Calibri" w:cs="Calibri"/>
          <w:b/>
          <w:sz w:val="20"/>
          <w:szCs w:val="20"/>
        </w:rPr>
      </w:pPr>
    </w:p>
    <w:p w14:paraId="45A79D5A" w14:textId="77777777" w:rsidR="00C8342A" w:rsidRDefault="00C8342A" w:rsidP="00C8342A">
      <w:pPr>
        <w:spacing w:line="480" w:lineRule="auto"/>
        <w:jc w:val="both"/>
        <w:rPr>
          <w:rFonts w:ascii="Calibri" w:eastAsia="Calibri" w:hAnsi="Calibri" w:cs="Calibri"/>
          <w:sz w:val="26"/>
          <w:szCs w:val="26"/>
          <w:highlight w:val="white"/>
        </w:rPr>
      </w:pPr>
      <w:r>
        <w:rPr>
          <w:rFonts w:ascii="Calibri" w:eastAsia="Calibri" w:hAnsi="Calibri" w:cs="Calibri"/>
          <w:b/>
        </w:rPr>
        <w:t>Table 1. Patient demographics at first visit in individuals with congenital adrenal hyperplasia</w:t>
      </w:r>
      <w:r>
        <w:rPr>
          <w:rFonts w:ascii="Calibri" w:eastAsia="Calibri" w:hAnsi="Calibri" w:cs="Calibri"/>
          <w:color w:val="FFFFFF"/>
          <w:sz w:val="20"/>
          <w:szCs w:val="20"/>
          <w:highlight w:val="white"/>
        </w:rPr>
        <w:t>.</w:t>
      </w:r>
    </w:p>
    <w:tbl>
      <w:tblPr>
        <w:tblW w:w="6375" w:type="dxa"/>
        <w:tblInd w:w="1133" w:type="dxa"/>
        <w:tblBorders>
          <w:top w:val="nil"/>
          <w:left w:val="nil"/>
          <w:bottom w:val="nil"/>
          <w:right w:val="nil"/>
          <w:insideH w:val="nil"/>
          <w:insideV w:val="nil"/>
        </w:tblBorders>
        <w:tblLayout w:type="fixed"/>
        <w:tblLook w:val="0600" w:firstRow="0" w:lastRow="0" w:firstColumn="0" w:lastColumn="0" w:noHBand="1" w:noVBand="1"/>
      </w:tblPr>
      <w:tblGrid>
        <w:gridCol w:w="3615"/>
        <w:gridCol w:w="615"/>
        <w:gridCol w:w="2145"/>
      </w:tblGrid>
      <w:tr w:rsidR="00C8342A" w14:paraId="38C6DBA3" w14:textId="77777777" w:rsidTr="00252F78">
        <w:trPr>
          <w:trHeight w:val="285"/>
        </w:trPr>
        <w:tc>
          <w:tcPr>
            <w:tcW w:w="3615" w:type="dxa"/>
            <w:tcBorders>
              <w:top w:val="single" w:sz="5" w:space="0" w:color="000000"/>
              <w:left w:val="nil"/>
              <w:bottom w:val="single" w:sz="5" w:space="0" w:color="000000"/>
              <w:right w:val="nil"/>
            </w:tcBorders>
            <w:shd w:val="clear" w:color="auto" w:fill="FFFFFF"/>
            <w:tcMar>
              <w:top w:w="0" w:type="dxa"/>
              <w:left w:w="0" w:type="dxa"/>
              <w:bottom w:w="0" w:type="dxa"/>
              <w:right w:w="0" w:type="dxa"/>
            </w:tcMar>
          </w:tcPr>
          <w:p w14:paraId="4A4C5199"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b/>
                <w:sz w:val="20"/>
                <w:szCs w:val="20"/>
                <w:highlight w:val="white"/>
              </w:rPr>
            </w:pPr>
            <w:r>
              <w:rPr>
                <w:rFonts w:ascii="Calibri" w:eastAsia="Calibri" w:hAnsi="Calibri" w:cs="Calibri"/>
                <w:b/>
                <w:sz w:val="20"/>
                <w:szCs w:val="20"/>
                <w:highlight w:val="white"/>
              </w:rPr>
              <w:t>Characteristic</w:t>
            </w:r>
          </w:p>
        </w:tc>
        <w:tc>
          <w:tcPr>
            <w:tcW w:w="615" w:type="dxa"/>
            <w:tcBorders>
              <w:top w:val="single" w:sz="5" w:space="0" w:color="000000"/>
              <w:left w:val="nil"/>
              <w:bottom w:val="single" w:sz="5" w:space="0" w:color="000000"/>
              <w:right w:val="nil"/>
            </w:tcBorders>
            <w:shd w:val="clear" w:color="auto" w:fill="FFFFFF"/>
            <w:tcMar>
              <w:top w:w="0" w:type="dxa"/>
              <w:left w:w="0" w:type="dxa"/>
              <w:bottom w:w="0" w:type="dxa"/>
              <w:right w:w="0" w:type="dxa"/>
            </w:tcMar>
          </w:tcPr>
          <w:p w14:paraId="6CE3347E"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b/>
                <w:sz w:val="20"/>
                <w:szCs w:val="20"/>
                <w:highlight w:val="white"/>
              </w:rPr>
            </w:pPr>
            <w:r>
              <w:rPr>
                <w:rFonts w:ascii="Calibri" w:eastAsia="Calibri" w:hAnsi="Calibri" w:cs="Calibri"/>
                <w:b/>
                <w:sz w:val="20"/>
                <w:szCs w:val="20"/>
                <w:highlight w:val="white"/>
              </w:rPr>
              <w:t>N</w:t>
            </w:r>
          </w:p>
        </w:tc>
        <w:tc>
          <w:tcPr>
            <w:tcW w:w="2145" w:type="dxa"/>
            <w:tcBorders>
              <w:top w:val="single" w:sz="5" w:space="0" w:color="000000"/>
              <w:left w:val="nil"/>
              <w:bottom w:val="single" w:sz="5" w:space="0" w:color="000000"/>
              <w:right w:val="nil"/>
            </w:tcBorders>
            <w:shd w:val="clear" w:color="auto" w:fill="FFFFFF"/>
            <w:tcMar>
              <w:top w:w="0" w:type="dxa"/>
              <w:left w:w="0" w:type="dxa"/>
              <w:bottom w:w="0" w:type="dxa"/>
              <w:right w:w="0" w:type="dxa"/>
            </w:tcMar>
          </w:tcPr>
          <w:p w14:paraId="6361C4C6"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vertAlign w:val="superscript"/>
              </w:rPr>
            </w:pPr>
            <w:r>
              <w:rPr>
                <w:rFonts w:ascii="Calibri" w:eastAsia="Calibri" w:hAnsi="Calibri" w:cs="Calibri"/>
                <w:b/>
                <w:sz w:val="20"/>
                <w:szCs w:val="20"/>
                <w:highlight w:val="white"/>
              </w:rPr>
              <w:t>N = 790</w:t>
            </w:r>
            <w:r>
              <w:rPr>
                <w:rFonts w:ascii="Calibri" w:eastAsia="Calibri" w:hAnsi="Calibri" w:cs="Calibri"/>
                <w:sz w:val="20"/>
                <w:szCs w:val="20"/>
                <w:highlight w:val="white"/>
                <w:vertAlign w:val="superscript"/>
              </w:rPr>
              <w:t>1</w:t>
            </w:r>
          </w:p>
        </w:tc>
      </w:tr>
      <w:tr w:rsidR="00C8342A" w14:paraId="366C7E51"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3FE4D1C9"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Age at First Presentation (years)</w:t>
            </w:r>
          </w:p>
        </w:tc>
        <w:tc>
          <w:tcPr>
            <w:tcW w:w="615" w:type="dxa"/>
            <w:tcBorders>
              <w:top w:val="nil"/>
              <w:left w:val="nil"/>
              <w:bottom w:val="nil"/>
              <w:right w:val="nil"/>
            </w:tcBorders>
            <w:shd w:val="clear" w:color="auto" w:fill="FFFFFF"/>
            <w:tcMar>
              <w:top w:w="0" w:type="dxa"/>
              <w:left w:w="0" w:type="dxa"/>
              <w:bottom w:w="0" w:type="dxa"/>
              <w:right w:w="0" w:type="dxa"/>
            </w:tcMar>
          </w:tcPr>
          <w:p w14:paraId="4850D02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752</w:t>
            </w:r>
          </w:p>
        </w:tc>
        <w:tc>
          <w:tcPr>
            <w:tcW w:w="2145" w:type="dxa"/>
            <w:tcBorders>
              <w:top w:val="nil"/>
              <w:left w:val="nil"/>
              <w:bottom w:val="nil"/>
              <w:right w:val="nil"/>
            </w:tcBorders>
            <w:shd w:val="clear" w:color="auto" w:fill="FFFFFF"/>
            <w:tcMar>
              <w:top w:w="0" w:type="dxa"/>
              <w:left w:w="0" w:type="dxa"/>
              <w:bottom w:w="0" w:type="dxa"/>
              <w:right w:w="0" w:type="dxa"/>
            </w:tcMar>
          </w:tcPr>
          <w:p w14:paraId="5F4D6019"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0.08 (0.08, 0.08)</w:t>
            </w:r>
          </w:p>
        </w:tc>
      </w:tr>
      <w:tr w:rsidR="00C8342A" w14:paraId="44496DE2"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7B36BE17"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Height (cm)</w:t>
            </w:r>
          </w:p>
        </w:tc>
        <w:tc>
          <w:tcPr>
            <w:tcW w:w="615" w:type="dxa"/>
            <w:tcBorders>
              <w:top w:val="nil"/>
              <w:left w:val="nil"/>
              <w:bottom w:val="nil"/>
              <w:right w:val="nil"/>
            </w:tcBorders>
            <w:shd w:val="clear" w:color="auto" w:fill="FFFFFF"/>
            <w:tcMar>
              <w:top w:w="0" w:type="dxa"/>
              <w:left w:w="0" w:type="dxa"/>
              <w:bottom w:w="0" w:type="dxa"/>
              <w:right w:w="0" w:type="dxa"/>
            </w:tcMar>
          </w:tcPr>
          <w:p w14:paraId="7E27824C"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720</w:t>
            </w:r>
          </w:p>
        </w:tc>
        <w:tc>
          <w:tcPr>
            <w:tcW w:w="2145" w:type="dxa"/>
            <w:tcBorders>
              <w:top w:val="nil"/>
              <w:left w:val="nil"/>
              <w:bottom w:val="nil"/>
              <w:right w:val="nil"/>
            </w:tcBorders>
            <w:shd w:val="clear" w:color="auto" w:fill="FFFFFF"/>
            <w:tcMar>
              <w:top w:w="0" w:type="dxa"/>
              <w:left w:w="0" w:type="dxa"/>
              <w:bottom w:w="0" w:type="dxa"/>
              <w:right w:w="0" w:type="dxa"/>
            </w:tcMar>
          </w:tcPr>
          <w:p w14:paraId="4CBE86E2"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125 (78, 151)</w:t>
            </w:r>
          </w:p>
        </w:tc>
      </w:tr>
      <w:tr w:rsidR="00C8342A" w14:paraId="757DAC90"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5009528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Weight (kg)</w:t>
            </w:r>
          </w:p>
        </w:tc>
        <w:tc>
          <w:tcPr>
            <w:tcW w:w="615" w:type="dxa"/>
            <w:tcBorders>
              <w:top w:val="nil"/>
              <w:left w:val="nil"/>
              <w:bottom w:val="nil"/>
              <w:right w:val="nil"/>
            </w:tcBorders>
            <w:shd w:val="clear" w:color="auto" w:fill="FFFFFF"/>
            <w:tcMar>
              <w:top w:w="0" w:type="dxa"/>
              <w:left w:w="0" w:type="dxa"/>
              <w:bottom w:w="0" w:type="dxa"/>
              <w:right w:w="0" w:type="dxa"/>
            </w:tcMar>
          </w:tcPr>
          <w:p w14:paraId="10AF5C8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748</w:t>
            </w:r>
          </w:p>
        </w:tc>
        <w:tc>
          <w:tcPr>
            <w:tcW w:w="2145" w:type="dxa"/>
            <w:tcBorders>
              <w:top w:val="nil"/>
              <w:left w:val="nil"/>
              <w:bottom w:val="nil"/>
              <w:right w:val="nil"/>
            </w:tcBorders>
            <w:shd w:val="clear" w:color="auto" w:fill="FFFFFF"/>
            <w:tcMar>
              <w:top w:w="0" w:type="dxa"/>
              <w:left w:w="0" w:type="dxa"/>
              <w:bottom w:w="0" w:type="dxa"/>
              <w:right w:w="0" w:type="dxa"/>
            </w:tcMar>
          </w:tcPr>
          <w:p w14:paraId="327CB6CD"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26 (10, 52)</w:t>
            </w:r>
          </w:p>
        </w:tc>
      </w:tr>
      <w:tr w:rsidR="00C8342A" w14:paraId="047A3F83"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7152053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BMI (kg/m</w:t>
            </w:r>
            <w:r>
              <w:rPr>
                <w:rFonts w:ascii="Calibri" w:eastAsia="Calibri" w:hAnsi="Calibri" w:cs="Calibri"/>
                <w:sz w:val="20"/>
                <w:szCs w:val="20"/>
                <w:highlight w:val="white"/>
                <w:vertAlign w:val="superscript"/>
              </w:rPr>
              <w:t>2</w:t>
            </w:r>
            <w:r>
              <w:rPr>
                <w:rFonts w:ascii="Calibri" w:eastAsia="Calibri" w:hAnsi="Calibri" w:cs="Calibri"/>
                <w:sz w:val="20"/>
                <w:szCs w:val="20"/>
                <w:highlight w:val="white"/>
              </w:rPr>
              <w:t>)</w:t>
            </w:r>
          </w:p>
        </w:tc>
        <w:tc>
          <w:tcPr>
            <w:tcW w:w="615" w:type="dxa"/>
            <w:tcBorders>
              <w:top w:val="nil"/>
              <w:left w:val="nil"/>
              <w:bottom w:val="nil"/>
              <w:right w:val="nil"/>
            </w:tcBorders>
            <w:shd w:val="clear" w:color="auto" w:fill="FFFFFF"/>
            <w:tcMar>
              <w:top w:w="0" w:type="dxa"/>
              <w:left w:w="0" w:type="dxa"/>
              <w:bottom w:w="0" w:type="dxa"/>
              <w:right w:w="0" w:type="dxa"/>
            </w:tcMar>
          </w:tcPr>
          <w:p w14:paraId="729E5D27"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715</w:t>
            </w:r>
          </w:p>
        </w:tc>
        <w:tc>
          <w:tcPr>
            <w:tcW w:w="2145" w:type="dxa"/>
            <w:tcBorders>
              <w:top w:val="nil"/>
              <w:left w:val="nil"/>
              <w:bottom w:val="nil"/>
              <w:right w:val="nil"/>
            </w:tcBorders>
            <w:shd w:val="clear" w:color="auto" w:fill="FFFFFF"/>
            <w:tcMar>
              <w:top w:w="0" w:type="dxa"/>
              <w:left w:w="0" w:type="dxa"/>
              <w:bottom w:w="0" w:type="dxa"/>
              <w:right w:w="0" w:type="dxa"/>
            </w:tcMar>
          </w:tcPr>
          <w:p w14:paraId="40688319"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17.6 (15.4, 21.5)</w:t>
            </w:r>
          </w:p>
        </w:tc>
      </w:tr>
      <w:tr w:rsidR="00C8342A" w14:paraId="678C5F1E"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60E3278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BSA (m</w:t>
            </w:r>
            <w:r>
              <w:rPr>
                <w:rFonts w:ascii="Calibri" w:eastAsia="Calibri" w:hAnsi="Calibri" w:cs="Calibri"/>
                <w:sz w:val="20"/>
                <w:szCs w:val="20"/>
                <w:highlight w:val="white"/>
                <w:vertAlign w:val="superscript"/>
              </w:rPr>
              <w:t>2</w:t>
            </w:r>
            <w:r>
              <w:rPr>
                <w:rFonts w:ascii="Calibri" w:eastAsia="Calibri" w:hAnsi="Calibri" w:cs="Calibri"/>
                <w:sz w:val="20"/>
                <w:szCs w:val="20"/>
                <w:highlight w:val="white"/>
              </w:rPr>
              <w:t>)</w:t>
            </w:r>
            <w:r>
              <w:rPr>
                <w:rFonts w:ascii="Calibri" w:eastAsia="Calibri" w:hAnsi="Calibri" w:cs="Calibri"/>
                <w:sz w:val="20"/>
                <w:szCs w:val="20"/>
                <w:highlight w:val="white"/>
                <w:vertAlign w:val="superscript"/>
              </w:rPr>
              <w:t xml:space="preserve"> </w:t>
            </w:r>
          </w:p>
        </w:tc>
        <w:tc>
          <w:tcPr>
            <w:tcW w:w="615" w:type="dxa"/>
            <w:tcBorders>
              <w:top w:val="nil"/>
              <w:left w:val="nil"/>
              <w:bottom w:val="nil"/>
              <w:right w:val="nil"/>
            </w:tcBorders>
            <w:shd w:val="clear" w:color="auto" w:fill="FFFFFF"/>
            <w:tcMar>
              <w:top w:w="0" w:type="dxa"/>
              <w:left w:w="0" w:type="dxa"/>
              <w:bottom w:w="0" w:type="dxa"/>
              <w:right w:w="0" w:type="dxa"/>
            </w:tcMar>
          </w:tcPr>
          <w:p w14:paraId="056F726F"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715</w:t>
            </w:r>
          </w:p>
        </w:tc>
        <w:tc>
          <w:tcPr>
            <w:tcW w:w="2145" w:type="dxa"/>
            <w:tcBorders>
              <w:top w:val="nil"/>
              <w:left w:val="nil"/>
              <w:bottom w:val="nil"/>
              <w:right w:val="nil"/>
            </w:tcBorders>
            <w:shd w:val="clear" w:color="auto" w:fill="FFFFFF"/>
            <w:tcMar>
              <w:top w:w="0" w:type="dxa"/>
              <w:left w:w="0" w:type="dxa"/>
              <w:bottom w:w="0" w:type="dxa"/>
              <w:right w:w="0" w:type="dxa"/>
            </w:tcMar>
          </w:tcPr>
          <w:p w14:paraId="1F85B56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0.93 (0.47, 1.44)</w:t>
            </w:r>
          </w:p>
        </w:tc>
      </w:tr>
      <w:tr w:rsidR="00C8342A" w14:paraId="5FD8BDCB"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0F29FF08"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Follow-up Length (days)</w:t>
            </w:r>
          </w:p>
        </w:tc>
        <w:tc>
          <w:tcPr>
            <w:tcW w:w="615" w:type="dxa"/>
            <w:tcBorders>
              <w:top w:val="nil"/>
              <w:left w:val="nil"/>
              <w:bottom w:val="nil"/>
              <w:right w:val="nil"/>
            </w:tcBorders>
            <w:shd w:val="clear" w:color="auto" w:fill="FFFFFF"/>
            <w:tcMar>
              <w:top w:w="0" w:type="dxa"/>
              <w:left w:w="0" w:type="dxa"/>
              <w:bottom w:w="0" w:type="dxa"/>
              <w:right w:w="0" w:type="dxa"/>
            </w:tcMar>
          </w:tcPr>
          <w:p w14:paraId="5929966B"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790</w:t>
            </w:r>
          </w:p>
        </w:tc>
        <w:tc>
          <w:tcPr>
            <w:tcW w:w="2145" w:type="dxa"/>
            <w:tcBorders>
              <w:top w:val="nil"/>
              <w:left w:val="nil"/>
              <w:bottom w:val="nil"/>
              <w:right w:val="nil"/>
            </w:tcBorders>
            <w:shd w:val="clear" w:color="auto" w:fill="FFFFFF"/>
            <w:tcMar>
              <w:top w:w="0" w:type="dxa"/>
              <w:left w:w="0" w:type="dxa"/>
              <w:bottom w:w="0" w:type="dxa"/>
              <w:right w:w="0" w:type="dxa"/>
            </w:tcMar>
          </w:tcPr>
          <w:p w14:paraId="2B7C6FC6"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992 (420, 1,816)</w:t>
            </w:r>
          </w:p>
        </w:tc>
      </w:tr>
      <w:tr w:rsidR="00C8342A" w14:paraId="4085ADB1"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18F5FDCC"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Fludrocortisone Use</w:t>
            </w:r>
          </w:p>
        </w:tc>
        <w:tc>
          <w:tcPr>
            <w:tcW w:w="615" w:type="dxa"/>
            <w:tcBorders>
              <w:top w:val="nil"/>
              <w:left w:val="nil"/>
              <w:bottom w:val="nil"/>
              <w:right w:val="nil"/>
            </w:tcBorders>
            <w:shd w:val="clear" w:color="auto" w:fill="FFFFFF"/>
            <w:tcMar>
              <w:top w:w="0" w:type="dxa"/>
              <w:left w:w="0" w:type="dxa"/>
              <w:bottom w:w="0" w:type="dxa"/>
              <w:right w:w="0" w:type="dxa"/>
            </w:tcMar>
          </w:tcPr>
          <w:p w14:paraId="301647EA"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779</w:t>
            </w:r>
          </w:p>
        </w:tc>
        <w:tc>
          <w:tcPr>
            <w:tcW w:w="2145" w:type="dxa"/>
            <w:tcBorders>
              <w:top w:val="nil"/>
              <w:left w:val="nil"/>
              <w:bottom w:val="nil"/>
              <w:right w:val="nil"/>
            </w:tcBorders>
            <w:shd w:val="clear" w:color="auto" w:fill="FFFFFF"/>
            <w:tcMar>
              <w:top w:w="0" w:type="dxa"/>
              <w:left w:w="0" w:type="dxa"/>
              <w:bottom w:w="0" w:type="dxa"/>
              <w:right w:w="0" w:type="dxa"/>
            </w:tcMar>
          </w:tcPr>
          <w:p w14:paraId="61D1967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598 (77%)</w:t>
            </w:r>
          </w:p>
        </w:tc>
      </w:tr>
      <w:tr w:rsidR="00C8342A" w14:paraId="212B291A"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63653910"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20"/>
                <w:szCs w:val="20"/>
                <w:highlight w:val="white"/>
              </w:rPr>
              <w:t>Baseline Medication</w:t>
            </w:r>
          </w:p>
        </w:tc>
        <w:tc>
          <w:tcPr>
            <w:tcW w:w="615" w:type="dxa"/>
            <w:tcBorders>
              <w:top w:val="nil"/>
              <w:left w:val="nil"/>
              <w:bottom w:val="nil"/>
              <w:right w:val="nil"/>
            </w:tcBorders>
            <w:shd w:val="clear" w:color="auto" w:fill="FFFFFF"/>
            <w:tcMar>
              <w:top w:w="0" w:type="dxa"/>
              <w:left w:w="0" w:type="dxa"/>
              <w:bottom w:w="0" w:type="dxa"/>
              <w:right w:w="0" w:type="dxa"/>
            </w:tcMar>
          </w:tcPr>
          <w:p w14:paraId="3D4B0BE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790</w:t>
            </w:r>
          </w:p>
        </w:tc>
        <w:tc>
          <w:tcPr>
            <w:tcW w:w="2145" w:type="dxa"/>
            <w:tcBorders>
              <w:top w:val="nil"/>
              <w:left w:val="nil"/>
              <w:bottom w:val="nil"/>
              <w:right w:val="nil"/>
            </w:tcBorders>
            <w:shd w:val="clear" w:color="auto" w:fill="FFFFFF"/>
            <w:tcMar>
              <w:top w:w="0" w:type="dxa"/>
              <w:left w:w="0" w:type="dxa"/>
              <w:bottom w:w="0" w:type="dxa"/>
              <w:right w:w="0" w:type="dxa"/>
            </w:tcMar>
          </w:tcPr>
          <w:p w14:paraId="0313944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r>
      <w:tr w:rsidR="00C8342A" w14:paraId="074148E0"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0FD499BA"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300" w:right="100"/>
              <w:jc w:val="both"/>
              <w:rPr>
                <w:rFonts w:ascii="Calibri" w:eastAsia="Calibri" w:hAnsi="Calibri" w:cs="Calibri"/>
                <w:sz w:val="20"/>
                <w:szCs w:val="20"/>
                <w:highlight w:val="white"/>
              </w:rPr>
            </w:pPr>
            <w:proofErr w:type="spellStart"/>
            <w:r>
              <w:rPr>
                <w:rFonts w:ascii="Calibri" w:eastAsia="Calibri" w:hAnsi="Calibri" w:cs="Calibri"/>
                <w:sz w:val="20"/>
                <w:szCs w:val="20"/>
                <w:highlight w:val="white"/>
              </w:rPr>
              <w:t>Alkindi</w:t>
            </w:r>
            <w:proofErr w:type="spellEnd"/>
          </w:p>
        </w:tc>
        <w:tc>
          <w:tcPr>
            <w:tcW w:w="615" w:type="dxa"/>
            <w:tcBorders>
              <w:top w:val="nil"/>
              <w:left w:val="nil"/>
              <w:bottom w:val="nil"/>
              <w:right w:val="nil"/>
            </w:tcBorders>
            <w:shd w:val="clear" w:color="auto" w:fill="FFFFFF"/>
            <w:tcMar>
              <w:top w:w="0" w:type="dxa"/>
              <w:left w:w="0" w:type="dxa"/>
              <w:bottom w:w="0" w:type="dxa"/>
              <w:right w:w="0" w:type="dxa"/>
            </w:tcMar>
          </w:tcPr>
          <w:p w14:paraId="6A1A1F6D"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c>
          <w:tcPr>
            <w:tcW w:w="2145" w:type="dxa"/>
            <w:tcBorders>
              <w:top w:val="nil"/>
              <w:left w:val="nil"/>
              <w:bottom w:val="nil"/>
              <w:right w:val="nil"/>
            </w:tcBorders>
            <w:shd w:val="clear" w:color="auto" w:fill="FFFFFF"/>
            <w:tcMar>
              <w:top w:w="0" w:type="dxa"/>
              <w:left w:w="0" w:type="dxa"/>
              <w:bottom w:w="0" w:type="dxa"/>
              <w:right w:w="0" w:type="dxa"/>
            </w:tcMar>
          </w:tcPr>
          <w:p w14:paraId="073494E8"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3 (0.4%)</w:t>
            </w:r>
          </w:p>
        </w:tc>
      </w:tr>
      <w:tr w:rsidR="00C8342A" w14:paraId="5CD45FBA"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6E955C84"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300" w:right="100"/>
              <w:jc w:val="both"/>
              <w:rPr>
                <w:rFonts w:ascii="Calibri" w:eastAsia="Calibri" w:hAnsi="Calibri" w:cs="Calibri"/>
                <w:sz w:val="20"/>
                <w:szCs w:val="20"/>
                <w:highlight w:val="white"/>
              </w:rPr>
            </w:pPr>
            <w:r>
              <w:rPr>
                <w:rFonts w:ascii="Calibri" w:eastAsia="Calibri" w:hAnsi="Calibri" w:cs="Calibri"/>
                <w:sz w:val="20"/>
                <w:szCs w:val="20"/>
                <w:highlight w:val="white"/>
              </w:rPr>
              <w:t>Dexamethasone</w:t>
            </w:r>
          </w:p>
        </w:tc>
        <w:tc>
          <w:tcPr>
            <w:tcW w:w="615" w:type="dxa"/>
            <w:tcBorders>
              <w:top w:val="nil"/>
              <w:left w:val="nil"/>
              <w:bottom w:val="nil"/>
              <w:right w:val="nil"/>
            </w:tcBorders>
            <w:shd w:val="clear" w:color="auto" w:fill="FFFFFF"/>
            <w:tcMar>
              <w:top w:w="0" w:type="dxa"/>
              <w:left w:w="0" w:type="dxa"/>
              <w:bottom w:w="0" w:type="dxa"/>
              <w:right w:w="0" w:type="dxa"/>
            </w:tcMar>
          </w:tcPr>
          <w:p w14:paraId="730B150F"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c>
          <w:tcPr>
            <w:tcW w:w="2145" w:type="dxa"/>
            <w:tcBorders>
              <w:top w:val="nil"/>
              <w:left w:val="nil"/>
              <w:bottom w:val="nil"/>
              <w:right w:val="nil"/>
            </w:tcBorders>
            <w:shd w:val="clear" w:color="auto" w:fill="FFFFFF"/>
            <w:tcMar>
              <w:top w:w="0" w:type="dxa"/>
              <w:left w:w="0" w:type="dxa"/>
              <w:bottom w:w="0" w:type="dxa"/>
              <w:right w:w="0" w:type="dxa"/>
            </w:tcMar>
          </w:tcPr>
          <w:p w14:paraId="0B33C9E0"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50 (6.3%)</w:t>
            </w:r>
          </w:p>
        </w:tc>
      </w:tr>
      <w:tr w:rsidR="00C8342A" w14:paraId="7B10F76B"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5A695C1A"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300" w:right="100"/>
              <w:jc w:val="both"/>
              <w:rPr>
                <w:rFonts w:ascii="Calibri" w:eastAsia="Calibri" w:hAnsi="Calibri" w:cs="Calibri"/>
                <w:sz w:val="20"/>
                <w:szCs w:val="20"/>
                <w:highlight w:val="white"/>
              </w:rPr>
            </w:pPr>
            <w:r>
              <w:rPr>
                <w:rFonts w:ascii="Calibri" w:eastAsia="Calibri" w:hAnsi="Calibri" w:cs="Calibri"/>
                <w:sz w:val="20"/>
                <w:szCs w:val="20"/>
                <w:highlight w:val="white"/>
              </w:rPr>
              <w:t>Hydrocortisone</w:t>
            </w:r>
          </w:p>
        </w:tc>
        <w:tc>
          <w:tcPr>
            <w:tcW w:w="615" w:type="dxa"/>
            <w:tcBorders>
              <w:top w:val="nil"/>
              <w:left w:val="nil"/>
              <w:bottom w:val="nil"/>
              <w:right w:val="nil"/>
            </w:tcBorders>
            <w:shd w:val="clear" w:color="auto" w:fill="FFFFFF"/>
            <w:tcMar>
              <w:top w:w="0" w:type="dxa"/>
              <w:left w:w="0" w:type="dxa"/>
              <w:bottom w:w="0" w:type="dxa"/>
              <w:right w:w="0" w:type="dxa"/>
            </w:tcMar>
          </w:tcPr>
          <w:p w14:paraId="16FF431D"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c>
          <w:tcPr>
            <w:tcW w:w="2145" w:type="dxa"/>
            <w:tcBorders>
              <w:top w:val="nil"/>
              <w:left w:val="nil"/>
              <w:bottom w:val="nil"/>
              <w:right w:val="nil"/>
            </w:tcBorders>
            <w:shd w:val="clear" w:color="auto" w:fill="FFFFFF"/>
            <w:tcMar>
              <w:top w:w="0" w:type="dxa"/>
              <w:left w:w="0" w:type="dxa"/>
              <w:bottom w:w="0" w:type="dxa"/>
              <w:right w:w="0" w:type="dxa"/>
            </w:tcMar>
          </w:tcPr>
          <w:p w14:paraId="59BE781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677 (86%)</w:t>
            </w:r>
          </w:p>
        </w:tc>
      </w:tr>
      <w:tr w:rsidR="00C8342A" w14:paraId="4A9D437E" w14:textId="77777777" w:rsidTr="00252F78">
        <w:trPr>
          <w:trHeight w:val="180"/>
        </w:trPr>
        <w:tc>
          <w:tcPr>
            <w:tcW w:w="3615" w:type="dxa"/>
            <w:tcBorders>
              <w:top w:val="nil"/>
              <w:left w:val="nil"/>
              <w:bottom w:val="nil"/>
              <w:right w:val="nil"/>
            </w:tcBorders>
            <w:shd w:val="clear" w:color="auto" w:fill="FFFFFF"/>
            <w:tcMar>
              <w:top w:w="0" w:type="dxa"/>
              <w:left w:w="0" w:type="dxa"/>
              <w:bottom w:w="0" w:type="dxa"/>
              <w:right w:w="0" w:type="dxa"/>
            </w:tcMar>
          </w:tcPr>
          <w:p w14:paraId="54F0BC81"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300" w:right="100"/>
              <w:jc w:val="both"/>
              <w:rPr>
                <w:rFonts w:ascii="Calibri" w:eastAsia="Calibri" w:hAnsi="Calibri" w:cs="Calibri"/>
                <w:sz w:val="20"/>
                <w:szCs w:val="20"/>
                <w:highlight w:val="white"/>
              </w:rPr>
            </w:pPr>
            <w:r>
              <w:rPr>
                <w:rFonts w:ascii="Calibri" w:eastAsia="Calibri" w:hAnsi="Calibri" w:cs="Calibri"/>
                <w:sz w:val="20"/>
                <w:szCs w:val="20"/>
                <w:highlight w:val="white"/>
              </w:rPr>
              <w:t>Prednisolone</w:t>
            </w:r>
          </w:p>
        </w:tc>
        <w:tc>
          <w:tcPr>
            <w:tcW w:w="615" w:type="dxa"/>
            <w:tcBorders>
              <w:top w:val="nil"/>
              <w:left w:val="nil"/>
              <w:bottom w:val="nil"/>
              <w:right w:val="nil"/>
            </w:tcBorders>
            <w:shd w:val="clear" w:color="auto" w:fill="FFFFFF"/>
            <w:tcMar>
              <w:top w:w="0" w:type="dxa"/>
              <w:left w:w="0" w:type="dxa"/>
              <w:bottom w:w="0" w:type="dxa"/>
              <w:right w:w="0" w:type="dxa"/>
            </w:tcMar>
          </w:tcPr>
          <w:p w14:paraId="327C8BA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c>
          <w:tcPr>
            <w:tcW w:w="2145" w:type="dxa"/>
            <w:tcBorders>
              <w:top w:val="nil"/>
              <w:left w:val="nil"/>
              <w:bottom w:val="nil"/>
              <w:right w:val="nil"/>
            </w:tcBorders>
            <w:shd w:val="clear" w:color="auto" w:fill="FFFFFF"/>
            <w:tcMar>
              <w:top w:w="0" w:type="dxa"/>
              <w:left w:w="0" w:type="dxa"/>
              <w:bottom w:w="0" w:type="dxa"/>
              <w:right w:w="0" w:type="dxa"/>
            </w:tcMar>
          </w:tcPr>
          <w:p w14:paraId="6F05BFD5"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57 (7.2%)</w:t>
            </w:r>
          </w:p>
        </w:tc>
      </w:tr>
      <w:tr w:rsidR="00C8342A" w14:paraId="18CF36F0" w14:textId="77777777" w:rsidTr="00252F78">
        <w:trPr>
          <w:trHeight w:val="180"/>
        </w:trPr>
        <w:tc>
          <w:tcPr>
            <w:tcW w:w="3615" w:type="dxa"/>
            <w:tcBorders>
              <w:top w:val="nil"/>
              <w:left w:val="nil"/>
              <w:bottom w:val="single" w:sz="5" w:space="0" w:color="000000"/>
              <w:right w:val="nil"/>
            </w:tcBorders>
            <w:shd w:val="clear" w:color="auto" w:fill="FFFFFF"/>
            <w:tcMar>
              <w:top w:w="0" w:type="dxa"/>
              <w:left w:w="0" w:type="dxa"/>
              <w:bottom w:w="0" w:type="dxa"/>
              <w:right w:w="0" w:type="dxa"/>
            </w:tcMar>
          </w:tcPr>
          <w:p w14:paraId="0E330F05"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300" w:right="100"/>
              <w:jc w:val="both"/>
              <w:rPr>
                <w:rFonts w:ascii="Calibri" w:eastAsia="Calibri" w:hAnsi="Calibri" w:cs="Calibri"/>
                <w:sz w:val="20"/>
                <w:szCs w:val="20"/>
                <w:highlight w:val="white"/>
              </w:rPr>
            </w:pPr>
            <w:r>
              <w:rPr>
                <w:rFonts w:ascii="Calibri" w:eastAsia="Calibri" w:hAnsi="Calibri" w:cs="Calibri"/>
                <w:sz w:val="20"/>
                <w:szCs w:val="20"/>
                <w:highlight w:val="white"/>
              </w:rPr>
              <w:t>Prednisone</w:t>
            </w:r>
          </w:p>
        </w:tc>
        <w:tc>
          <w:tcPr>
            <w:tcW w:w="615" w:type="dxa"/>
            <w:tcBorders>
              <w:top w:val="nil"/>
              <w:left w:val="nil"/>
              <w:bottom w:val="single" w:sz="5" w:space="0" w:color="000000"/>
              <w:right w:val="nil"/>
            </w:tcBorders>
            <w:shd w:val="clear" w:color="auto" w:fill="FFFFFF"/>
            <w:tcMar>
              <w:top w:w="0" w:type="dxa"/>
              <w:left w:w="0" w:type="dxa"/>
              <w:bottom w:w="0" w:type="dxa"/>
              <w:right w:w="0" w:type="dxa"/>
            </w:tcMar>
          </w:tcPr>
          <w:p w14:paraId="57D3E8EA"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 xml:space="preserve"> </w:t>
            </w:r>
          </w:p>
        </w:tc>
        <w:tc>
          <w:tcPr>
            <w:tcW w:w="2145" w:type="dxa"/>
            <w:tcBorders>
              <w:top w:val="nil"/>
              <w:left w:val="nil"/>
              <w:bottom w:val="single" w:sz="5" w:space="0" w:color="000000"/>
              <w:right w:val="nil"/>
            </w:tcBorders>
            <w:shd w:val="clear" w:color="auto" w:fill="FFFFFF"/>
            <w:tcMar>
              <w:top w:w="0" w:type="dxa"/>
              <w:left w:w="0" w:type="dxa"/>
              <w:bottom w:w="0" w:type="dxa"/>
              <w:right w:w="0" w:type="dxa"/>
            </w:tcMar>
          </w:tcPr>
          <w:p w14:paraId="779B3863"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center"/>
              <w:rPr>
                <w:rFonts w:ascii="Calibri" w:eastAsia="Calibri" w:hAnsi="Calibri" w:cs="Calibri"/>
                <w:sz w:val="20"/>
                <w:szCs w:val="20"/>
                <w:highlight w:val="white"/>
              </w:rPr>
            </w:pPr>
            <w:r>
              <w:rPr>
                <w:rFonts w:ascii="Calibri" w:eastAsia="Calibri" w:hAnsi="Calibri" w:cs="Calibri"/>
                <w:sz w:val="20"/>
                <w:szCs w:val="20"/>
                <w:highlight w:val="white"/>
              </w:rPr>
              <w:t>3 (0.4%)</w:t>
            </w:r>
          </w:p>
        </w:tc>
      </w:tr>
      <w:tr w:rsidR="00C8342A" w14:paraId="74D8F0D7" w14:textId="77777777" w:rsidTr="00252F78">
        <w:trPr>
          <w:trHeight w:val="270"/>
        </w:trPr>
        <w:tc>
          <w:tcPr>
            <w:tcW w:w="6375" w:type="dxa"/>
            <w:gridSpan w:val="3"/>
            <w:tcBorders>
              <w:top w:val="nil"/>
              <w:left w:val="nil"/>
              <w:bottom w:val="nil"/>
              <w:right w:val="nil"/>
            </w:tcBorders>
            <w:shd w:val="clear" w:color="auto" w:fill="FFFFFF"/>
            <w:tcMar>
              <w:top w:w="0" w:type="dxa"/>
              <w:left w:w="0" w:type="dxa"/>
              <w:bottom w:w="0" w:type="dxa"/>
              <w:right w:w="0" w:type="dxa"/>
            </w:tcMar>
          </w:tcPr>
          <w:p w14:paraId="607B4A29" w14:textId="77777777" w:rsidR="00C8342A" w:rsidRDefault="00C8342A" w:rsidP="00252F78">
            <w:pPr>
              <w:pBdr>
                <w:top w:val="none" w:sz="0" w:space="0" w:color="000000"/>
                <w:left w:val="none" w:sz="0" w:space="0" w:color="000000"/>
                <w:bottom w:val="none" w:sz="0" w:space="0" w:color="000000"/>
                <w:right w:val="none" w:sz="0" w:space="0" w:color="000000"/>
                <w:between w:val="none" w:sz="0" w:space="0" w:color="000000"/>
              </w:pBdr>
              <w:spacing w:line="480" w:lineRule="auto"/>
              <w:ind w:left="100" w:right="100"/>
              <w:jc w:val="both"/>
              <w:rPr>
                <w:rFonts w:ascii="Calibri" w:eastAsia="Calibri" w:hAnsi="Calibri" w:cs="Calibri"/>
                <w:sz w:val="20"/>
                <w:szCs w:val="20"/>
                <w:highlight w:val="white"/>
              </w:rPr>
            </w:pPr>
            <w:r>
              <w:rPr>
                <w:rFonts w:ascii="Calibri" w:eastAsia="Calibri" w:hAnsi="Calibri" w:cs="Calibri"/>
                <w:sz w:val="30"/>
                <w:szCs w:val="30"/>
                <w:highlight w:val="white"/>
                <w:vertAlign w:val="superscript"/>
              </w:rPr>
              <w:t xml:space="preserve">1 </w:t>
            </w:r>
            <w:r>
              <w:rPr>
                <w:rFonts w:ascii="Calibri" w:eastAsia="Calibri" w:hAnsi="Calibri" w:cs="Calibri"/>
                <w:sz w:val="20"/>
                <w:szCs w:val="20"/>
                <w:highlight w:val="white"/>
              </w:rPr>
              <w:t>Values are median (Q1, Q3) or n (%)</w:t>
            </w:r>
            <w:r>
              <w:rPr>
                <w:rFonts w:ascii="Calibri" w:eastAsia="Calibri" w:hAnsi="Calibri" w:cs="Calibri"/>
                <w:sz w:val="20"/>
                <w:szCs w:val="20"/>
                <w:highlight w:val="white"/>
              </w:rPr>
              <w:br/>
              <w:t>BMI: Body Mass Index; BSA: Body Surface Area</w:t>
            </w:r>
          </w:p>
        </w:tc>
      </w:tr>
    </w:tbl>
    <w:p w14:paraId="419C622A" w14:textId="77777777" w:rsidR="00C8342A" w:rsidRDefault="00C8342A" w:rsidP="00C8342A"/>
    <w:p w14:paraId="64664E12" w14:textId="77777777" w:rsidR="00C8342A" w:rsidRDefault="00C8342A">
      <w:pPr>
        <w:spacing w:line="480" w:lineRule="auto"/>
        <w:jc w:val="both"/>
        <w:rPr>
          <w:rFonts w:ascii="Calibri" w:eastAsia="Calibri" w:hAnsi="Calibri" w:cs="Calibri"/>
          <w:b/>
          <w:sz w:val="20"/>
          <w:szCs w:val="20"/>
        </w:rPr>
      </w:pPr>
    </w:p>
    <w:p w14:paraId="46B7E299" w14:textId="77777777" w:rsidR="0012549D" w:rsidRDefault="00000000">
      <w:pPr>
        <w:pStyle w:val="Heading3"/>
        <w:keepNext w:val="0"/>
        <w:keepLines w:val="0"/>
        <w:spacing w:line="480" w:lineRule="auto"/>
        <w:jc w:val="both"/>
        <w:rPr>
          <w:rFonts w:ascii="Calibri" w:eastAsia="Calibri" w:hAnsi="Calibri" w:cs="Calibri"/>
          <w:sz w:val="24"/>
          <w:szCs w:val="24"/>
        </w:rPr>
      </w:pPr>
      <w:bookmarkStart w:id="2" w:name="_heading=h.vs815es4tgov" w:colFirst="0" w:colLast="0"/>
      <w:bookmarkEnd w:id="2"/>
      <w:r>
        <w:rPr>
          <w:rFonts w:ascii="Calibri" w:eastAsia="Calibri" w:hAnsi="Calibri" w:cs="Calibri"/>
          <w:sz w:val="24"/>
          <w:szCs w:val="24"/>
        </w:rPr>
        <w:t>Adoption of Modern GC Therapies (2017–2023)</w:t>
      </w:r>
    </w:p>
    <w:p w14:paraId="177CE326" w14:textId="77777777" w:rsidR="0012549D" w:rsidRDefault="00000000">
      <w:pPr>
        <w:spacing w:before="240" w:after="240" w:line="480" w:lineRule="auto"/>
        <w:jc w:val="both"/>
        <w:rPr>
          <w:rFonts w:ascii="Calibri" w:eastAsia="Calibri" w:hAnsi="Calibri" w:cs="Calibri"/>
          <w:b/>
          <w:sz w:val="28"/>
          <w:szCs w:val="28"/>
        </w:rPr>
      </w:pPr>
      <w:r>
        <w:rPr>
          <w:rFonts w:ascii="Calibri" w:eastAsia="Calibri" w:hAnsi="Calibri" w:cs="Calibri"/>
          <w:sz w:val="24"/>
          <w:szCs w:val="24"/>
        </w:rPr>
        <w:t xml:space="preserve">Among 790 patients with complete treatment records, 44 patients (5.6%) switched from traditional GC therapies (hydrocortisone, prednisolone, dexamethasone) to modern </w:t>
      </w:r>
      <w:r>
        <w:rPr>
          <w:rFonts w:ascii="Calibri" w:eastAsia="Calibri" w:hAnsi="Calibri" w:cs="Calibri"/>
          <w:sz w:val="24"/>
          <w:szCs w:val="24"/>
        </w:rPr>
        <w:lastRenderedPageBreak/>
        <w:t>formulations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Plenadren®) during the study period. In 2018, only 2 of the participating centres reported having access to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No centres had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or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while 10 centres offered Plenadren®. By 2023, the availability of modern GC formulations had significantly increased.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was available at 21 centres,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at 18 centres, Plenadren® at 13 centres, and </w:t>
      </w:r>
      <w:proofErr w:type="spellStart"/>
      <w:r>
        <w:rPr>
          <w:rFonts w:ascii="Calibri" w:eastAsia="Calibri" w:hAnsi="Calibri" w:cs="Calibri"/>
          <w:sz w:val="24"/>
          <w:szCs w:val="24"/>
        </w:rPr>
        <w:t>Acecort</w:t>
      </w:r>
      <w:proofErr w:type="spellEnd"/>
      <w:r>
        <w:rPr>
          <w:rFonts w:ascii="Calibri" w:eastAsia="Calibri" w:hAnsi="Calibri" w:cs="Calibri"/>
          <w:sz w:val="24"/>
          <w:szCs w:val="24"/>
        </w:rPr>
        <w:t>® at 6 centres.</w:t>
      </w:r>
    </w:p>
    <w:p w14:paraId="2D22DAEF" w14:textId="77777777" w:rsidR="0012549D" w:rsidRDefault="00000000">
      <w:pPr>
        <w:spacing w:before="240" w:after="240" w:line="480" w:lineRule="auto"/>
        <w:jc w:val="both"/>
        <w:rPr>
          <w:rFonts w:ascii="Calibri" w:eastAsia="Calibri" w:hAnsi="Calibri" w:cs="Calibri"/>
          <w:b/>
          <w:sz w:val="26"/>
          <w:szCs w:val="26"/>
        </w:rPr>
      </w:pPr>
      <w:r>
        <w:rPr>
          <w:rFonts w:ascii="Calibri" w:eastAsia="Calibri" w:hAnsi="Calibri" w:cs="Calibri"/>
          <w:b/>
          <w:sz w:val="24"/>
          <w:szCs w:val="24"/>
        </w:rPr>
        <w:t>Age-Related Prescribing Patterns</w:t>
      </w:r>
    </w:p>
    <w:p w14:paraId="2D35CA28" w14:textId="452F33B3" w:rsidR="00280BFE"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Prescribing patterns varied significantly based on patient age (Figure 1).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was exclusively prescribed to patients under the age of </w:t>
      </w:r>
      <w:r w:rsidR="00C44B1A">
        <w:rPr>
          <w:rFonts w:ascii="Calibri" w:eastAsia="Calibri" w:hAnsi="Calibri" w:cs="Calibri"/>
          <w:sz w:val="24"/>
          <w:szCs w:val="24"/>
        </w:rPr>
        <w:t>8</w:t>
      </w:r>
      <w:r>
        <w:rPr>
          <w:rFonts w:ascii="Calibri" w:eastAsia="Calibri" w:hAnsi="Calibri" w:cs="Calibri"/>
          <w:sz w:val="24"/>
          <w:szCs w:val="24"/>
        </w:rPr>
        <w:t>, with all 1</w:t>
      </w:r>
      <w:r w:rsidR="0006150C">
        <w:rPr>
          <w:rFonts w:ascii="Calibri" w:eastAsia="Calibri" w:hAnsi="Calibri" w:cs="Calibri"/>
          <w:sz w:val="24"/>
          <w:szCs w:val="24"/>
        </w:rPr>
        <w:t>2</w:t>
      </w:r>
      <w:r>
        <w:rPr>
          <w:rFonts w:ascii="Calibri" w:eastAsia="Calibri" w:hAnsi="Calibri" w:cs="Calibri"/>
          <w:sz w:val="24"/>
          <w:szCs w:val="24"/>
        </w:rPr>
        <w:t xml:space="preserve"> patients receiving the medication being under </w:t>
      </w:r>
      <w:r w:rsidR="00C44B1A">
        <w:rPr>
          <w:rFonts w:ascii="Calibri" w:eastAsia="Calibri" w:hAnsi="Calibri" w:cs="Calibri"/>
          <w:sz w:val="24"/>
          <w:szCs w:val="24"/>
        </w:rPr>
        <w:t>8</w:t>
      </w:r>
      <w:r>
        <w:rPr>
          <w:rFonts w:ascii="Calibri" w:eastAsia="Calibri" w:hAnsi="Calibri" w:cs="Calibri"/>
          <w:sz w:val="24"/>
          <w:szCs w:val="24"/>
        </w:rPr>
        <w:t xml:space="preserve"> years old (</w:t>
      </w:r>
      <w:r w:rsidR="0092601B" w:rsidRPr="00215C13">
        <w:rPr>
          <w:rFonts w:ascii="Segoe UI" w:hAnsi="Segoe UI" w:cs="Segoe UI"/>
          <w:color w:val="242424"/>
        </w:rPr>
        <w:t xml:space="preserve">mean age </w:t>
      </w:r>
      <w:r w:rsidR="00C44B1A">
        <w:rPr>
          <w:rFonts w:ascii="Segoe UI" w:hAnsi="Segoe UI" w:cs="Segoe UI"/>
          <w:color w:val="242424"/>
        </w:rPr>
        <w:t>4.37 years</w:t>
      </w:r>
      <w:r w:rsidR="0092601B" w:rsidRPr="00215C13">
        <w:rPr>
          <w:rFonts w:ascii="Segoe UI" w:hAnsi="Segoe UI" w:cs="Segoe UI"/>
          <w:color w:val="242424"/>
        </w:rPr>
        <w:t>; range 0</w:t>
      </w:r>
      <w:r w:rsidR="00C44B1A">
        <w:rPr>
          <w:rFonts w:ascii="Segoe UI" w:hAnsi="Segoe UI" w:cs="Segoe UI"/>
          <w:color w:val="242424"/>
        </w:rPr>
        <w:t>.93</w:t>
      </w:r>
      <w:r w:rsidR="0092601B" w:rsidRPr="00215C13">
        <w:rPr>
          <w:rFonts w:ascii="Segoe UI" w:hAnsi="Segoe UI" w:cs="Segoe UI"/>
          <w:color w:val="242424"/>
        </w:rPr>
        <w:t>-</w:t>
      </w:r>
      <w:r w:rsidR="00C44B1A">
        <w:rPr>
          <w:rFonts w:ascii="Segoe UI" w:hAnsi="Segoe UI" w:cs="Segoe UI"/>
          <w:color w:val="242424"/>
        </w:rPr>
        <w:t>7.92</w:t>
      </w:r>
      <w:r w:rsidR="0092601B" w:rsidRPr="00215C13">
        <w:rPr>
          <w:rFonts w:ascii="Segoe UI" w:hAnsi="Segoe UI" w:cs="Segoe UI"/>
          <w:color w:val="242424"/>
        </w:rPr>
        <w:t xml:space="preserve"> years</w:t>
      </w:r>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was prescribed to 30 out of the 31 patients aged 7 years or older (mean age 13; range 0-24 years). Only one patient aged 14 years was prescribed </w:t>
      </w:r>
      <w:proofErr w:type="spellStart"/>
      <w:r>
        <w:rPr>
          <w:rFonts w:ascii="Calibri" w:eastAsia="Calibri" w:hAnsi="Calibri" w:cs="Calibri"/>
          <w:sz w:val="24"/>
          <w:szCs w:val="24"/>
        </w:rPr>
        <w:t>Acecort</w:t>
      </w:r>
      <w:proofErr w:type="spellEnd"/>
      <w:r>
        <w:rPr>
          <w:rFonts w:ascii="Calibri" w:eastAsia="Calibri" w:hAnsi="Calibri" w:cs="Calibri"/>
          <w:sz w:val="24"/>
          <w:szCs w:val="24"/>
        </w:rPr>
        <w:t>®, and no patients were prescribed Plenadren® during the study period.</w:t>
      </w:r>
    </w:p>
    <w:p w14:paraId="1937BCDC" w14:textId="77777777" w:rsidR="00280BFE" w:rsidRDefault="00280BFE">
      <w:pPr>
        <w:rPr>
          <w:rFonts w:ascii="Calibri" w:eastAsia="Calibri" w:hAnsi="Calibri" w:cs="Calibri"/>
          <w:sz w:val="24"/>
          <w:szCs w:val="24"/>
        </w:rPr>
      </w:pPr>
      <w:r>
        <w:rPr>
          <w:rFonts w:ascii="Calibri" w:eastAsia="Calibri" w:hAnsi="Calibri" w:cs="Calibri"/>
          <w:sz w:val="24"/>
          <w:szCs w:val="24"/>
        </w:rPr>
        <w:br w:type="page"/>
      </w:r>
    </w:p>
    <w:p w14:paraId="47701722" w14:textId="77777777" w:rsidR="0012549D" w:rsidRDefault="0012549D">
      <w:pPr>
        <w:spacing w:before="240" w:after="240" w:line="480" w:lineRule="auto"/>
        <w:jc w:val="both"/>
        <w:rPr>
          <w:rFonts w:ascii="Calibri" w:eastAsia="Calibri" w:hAnsi="Calibri" w:cs="Calibri"/>
          <w:sz w:val="24"/>
          <w:szCs w:val="24"/>
        </w:rPr>
      </w:pPr>
    </w:p>
    <w:p w14:paraId="4DC1D845" w14:textId="77777777" w:rsidR="00280BFE" w:rsidRDefault="00280BFE" w:rsidP="00280BFE">
      <w:pPr>
        <w:spacing w:line="480" w:lineRule="auto"/>
        <w:jc w:val="both"/>
        <w:rPr>
          <w:b/>
          <w:i/>
          <w:sz w:val="16"/>
          <w:szCs w:val="16"/>
        </w:rPr>
      </w:pPr>
      <w:r>
        <w:rPr>
          <w:rFonts w:ascii="Calibri" w:eastAsia="Calibri" w:hAnsi="Calibri" w:cs="Calibri"/>
          <w:b/>
          <w:noProof/>
          <w:sz w:val="26"/>
          <w:szCs w:val="26"/>
        </w:rPr>
        <w:drawing>
          <wp:inline distT="114300" distB="114300" distL="114300" distR="114300" wp14:anchorId="375507B6" wp14:editId="5706FD6C">
            <wp:extent cx="5591175" cy="2071539"/>
            <wp:effectExtent l="0" t="0" r="0" b="0"/>
            <wp:docPr id="1423327460" name="image5.png" descr="A graph of different age groups&#10;&#10;AI-generated content may be incorrect."/>
            <wp:cNvGraphicFramePr/>
            <a:graphic xmlns:a="http://schemas.openxmlformats.org/drawingml/2006/main">
              <a:graphicData uri="http://schemas.openxmlformats.org/drawingml/2006/picture">
                <pic:pic xmlns:pic="http://schemas.openxmlformats.org/drawingml/2006/picture">
                  <pic:nvPicPr>
                    <pic:cNvPr id="1423327460" name="image5.png" descr="A graph of different age groups&#10;&#10;AI-generated content may be incorrect."/>
                    <pic:cNvPicPr preferRelativeResize="0"/>
                  </pic:nvPicPr>
                  <pic:blipFill>
                    <a:blip r:embed="rId13"/>
                    <a:srcRect l="1327" t="2372" r="1161" b="4086"/>
                    <a:stretch>
                      <a:fillRect/>
                    </a:stretch>
                  </pic:blipFill>
                  <pic:spPr>
                    <a:xfrm>
                      <a:off x="0" y="0"/>
                      <a:ext cx="5591175" cy="2071539"/>
                    </a:xfrm>
                    <a:prstGeom prst="rect">
                      <a:avLst/>
                    </a:prstGeom>
                    <a:ln/>
                  </pic:spPr>
                </pic:pic>
              </a:graphicData>
            </a:graphic>
          </wp:inline>
        </w:drawing>
      </w:r>
    </w:p>
    <w:p w14:paraId="1F7A9089" w14:textId="6826804E" w:rsidR="00280BFE" w:rsidRPr="00280BFE" w:rsidRDefault="00280BFE" w:rsidP="00280BFE">
      <w:pPr>
        <w:spacing w:line="480" w:lineRule="auto"/>
        <w:jc w:val="both"/>
        <w:rPr>
          <w:rFonts w:ascii="Calibri" w:eastAsia="Calibri" w:hAnsi="Calibri" w:cs="Calibri"/>
          <w:b/>
          <w:sz w:val="30"/>
          <w:szCs w:val="30"/>
        </w:rPr>
      </w:pPr>
      <w:r>
        <w:rPr>
          <w:b/>
          <w:i/>
          <w:sz w:val="20"/>
          <w:szCs w:val="20"/>
        </w:rPr>
        <w:t xml:space="preserve">Figure 1. </w:t>
      </w:r>
      <w:r>
        <w:rPr>
          <w:i/>
          <w:sz w:val="20"/>
          <w:szCs w:val="20"/>
        </w:rPr>
        <w:t>Histogram showing the number of patients who transitioned from traditional to modern GC medication, according to age. Colours represent the type of modern GC: blue (</w:t>
      </w:r>
      <w:proofErr w:type="spellStart"/>
      <w:r>
        <w:rPr>
          <w:i/>
          <w:sz w:val="20"/>
          <w:szCs w:val="20"/>
        </w:rPr>
        <w:t>Alkindi</w:t>
      </w:r>
      <w:proofErr w:type="spellEnd"/>
      <w:r>
        <w:rPr>
          <w:i/>
          <w:sz w:val="20"/>
          <w:szCs w:val="20"/>
        </w:rPr>
        <w:t>), red (</w:t>
      </w:r>
      <w:proofErr w:type="spellStart"/>
      <w:r>
        <w:rPr>
          <w:i/>
          <w:sz w:val="20"/>
          <w:szCs w:val="20"/>
        </w:rPr>
        <w:t>Efmody</w:t>
      </w:r>
      <w:proofErr w:type="spellEnd"/>
      <w:r>
        <w:rPr>
          <w:i/>
          <w:sz w:val="20"/>
          <w:szCs w:val="20"/>
        </w:rPr>
        <w:t>), green (</w:t>
      </w:r>
      <w:proofErr w:type="spellStart"/>
      <w:r>
        <w:rPr>
          <w:i/>
          <w:sz w:val="20"/>
          <w:szCs w:val="20"/>
        </w:rPr>
        <w:t>Acecort</w:t>
      </w:r>
      <w:proofErr w:type="spellEnd"/>
      <w:r>
        <w:rPr>
          <w:i/>
          <w:sz w:val="20"/>
          <w:szCs w:val="20"/>
        </w:rPr>
        <w:t>).</w:t>
      </w:r>
    </w:p>
    <w:p w14:paraId="03993761" w14:textId="77777777" w:rsidR="0012549D" w:rsidRDefault="00000000">
      <w:pPr>
        <w:spacing w:before="240" w:after="240" w:line="480" w:lineRule="auto"/>
        <w:jc w:val="both"/>
        <w:rPr>
          <w:rFonts w:ascii="Calibri" w:eastAsia="Calibri" w:hAnsi="Calibri" w:cs="Calibri"/>
          <w:b/>
          <w:sz w:val="24"/>
          <w:szCs w:val="24"/>
        </w:rPr>
      </w:pPr>
      <w:r>
        <w:rPr>
          <w:rFonts w:ascii="Calibri" w:eastAsia="Calibri" w:hAnsi="Calibri" w:cs="Calibri"/>
          <w:b/>
          <w:sz w:val="24"/>
          <w:szCs w:val="24"/>
        </w:rPr>
        <w:t>Cross-Centre and Regional Variation</w:t>
      </w:r>
    </w:p>
    <w:p w14:paraId="27EE255C" w14:textId="037460D5"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Considerable variation in the availability and adoption of modern GCs was observed between </w:t>
      </w:r>
      <w:r w:rsidR="00C27353">
        <w:rPr>
          <w:rFonts w:ascii="Calibri" w:eastAsia="Calibri" w:hAnsi="Calibri" w:cs="Calibri"/>
          <w:sz w:val="24"/>
          <w:szCs w:val="24"/>
        </w:rPr>
        <w:t>centres, both within and</w:t>
      </w:r>
      <w:r>
        <w:rPr>
          <w:rFonts w:ascii="Calibri" w:eastAsia="Calibri" w:hAnsi="Calibri" w:cs="Calibri"/>
          <w:sz w:val="24"/>
          <w:szCs w:val="24"/>
        </w:rPr>
        <w:t xml:space="preserve"> between countries (Figure </w:t>
      </w:r>
      <w:r w:rsidR="00C27353">
        <w:rPr>
          <w:rFonts w:ascii="Calibri" w:eastAsia="Calibri" w:hAnsi="Calibri" w:cs="Calibri"/>
          <w:sz w:val="24"/>
          <w:szCs w:val="24"/>
        </w:rPr>
        <w:t>3</w:t>
      </w:r>
      <w:r>
        <w:rPr>
          <w:rFonts w:ascii="Calibri" w:eastAsia="Calibri" w:hAnsi="Calibri" w:cs="Calibri"/>
          <w:sz w:val="24"/>
          <w:szCs w:val="24"/>
        </w:rPr>
        <w:t xml:space="preserve">). One anonymised high-income country (“Country A”) exhibited the highest increase in modern GC availability, rising from 10% in 2022 to 45% in 2023. Another high-income country (“Country B”) began adopting modern medications in mid-2023 but maintained a relatively low uptake of about 15% for the remainder of the study period. Countries C, D, and E, all high-income countries, exhibited more consistent but modest uptake of modern GCs. Country D, which introduced modern GCs earlier than Country C, had a plateaued adoption rate of about 13% throughout the study period. Similarly, Country E followed a similar trend. In contrast, Country C experienced a gradual increase in modern medication use from 2019, ultimately reaching 5% by the end of the study period (see Figure </w:t>
      </w:r>
      <w:r w:rsidR="00C27353">
        <w:rPr>
          <w:rFonts w:ascii="Calibri" w:eastAsia="Calibri" w:hAnsi="Calibri" w:cs="Calibri"/>
          <w:sz w:val="24"/>
          <w:szCs w:val="24"/>
        </w:rPr>
        <w:t>4</w:t>
      </w:r>
      <w:r>
        <w:rPr>
          <w:rFonts w:ascii="Calibri" w:eastAsia="Calibri" w:hAnsi="Calibri" w:cs="Calibri"/>
          <w:sz w:val="24"/>
          <w:szCs w:val="24"/>
        </w:rPr>
        <w:t xml:space="preserve"> for the frequency of uptake of modern GC medications per country by 2023). </w:t>
      </w:r>
    </w:p>
    <w:p w14:paraId="761BF8D6" w14:textId="77777777" w:rsidR="0012549D" w:rsidRDefault="00000000">
      <w:pPr>
        <w:spacing w:line="480" w:lineRule="auto"/>
        <w:jc w:val="both"/>
        <w:rPr>
          <w:rFonts w:ascii="Calibri" w:eastAsia="Calibri" w:hAnsi="Calibri" w:cs="Calibri"/>
          <w:b/>
          <w:sz w:val="24"/>
          <w:szCs w:val="24"/>
        </w:rPr>
      </w:pPr>
      <w:r>
        <w:rPr>
          <w:rFonts w:ascii="Calibri" w:eastAsia="Calibri" w:hAnsi="Calibri" w:cs="Calibri"/>
          <w:b/>
          <w:sz w:val="24"/>
          <w:szCs w:val="24"/>
        </w:rPr>
        <w:lastRenderedPageBreak/>
        <w:t>Barriers to prescription</w:t>
      </w:r>
    </w:p>
    <w:p w14:paraId="2A260F59" w14:textId="77777777" w:rsidR="0012549D" w:rsidRDefault="00000000">
      <w:pPr>
        <w:spacing w:before="200" w:after="200" w:line="480" w:lineRule="auto"/>
        <w:jc w:val="both"/>
        <w:rPr>
          <w:rFonts w:ascii="Calibri" w:eastAsia="Calibri" w:hAnsi="Calibri" w:cs="Calibri"/>
          <w:sz w:val="24"/>
          <w:szCs w:val="24"/>
        </w:rPr>
      </w:pPr>
      <w:r>
        <w:rPr>
          <w:rFonts w:ascii="Calibri" w:eastAsia="Calibri" w:hAnsi="Calibri" w:cs="Calibri"/>
          <w:sz w:val="24"/>
          <w:szCs w:val="24"/>
        </w:rPr>
        <w:t xml:space="preserve">A total of 39 centres (out of the original 46) completed the survey. 27 </w:t>
      </w:r>
      <w:proofErr w:type="gramStart"/>
      <w:r>
        <w:rPr>
          <w:rFonts w:ascii="Calibri" w:eastAsia="Calibri" w:hAnsi="Calibri" w:cs="Calibri"/>
          <w:sz w:val="24"/>
          <w:szCs w:val="24"/>
        </w:rPr>
        <w:t>were located in</w:t>
      </w:r>
      <w:proofErr w:type="gramEnd"/>
      <w:r>
        <w:rPr>
          <w:rFonts w:ascii="Calibri" w:eastAsia="Calibri" w:hAnsi="Calibri" w:cs="Calibri"/>
          <w:sz w:val="24"/>
          <w:szCs w:val="24"/>
        </w:rPr>
        <w:t xml:space="preserve"> high-income countries, 9 in upper-middle-income countries, 2 in lower-middle-income countries, and 1 in a low-income country.</w:t>
      </w:r>
    </w:p>
    <w:p w14:paraId="62CF0E47" w14:textId="22B390B1" w:rsidR="00C27353" w:rsidRDefault="00000000">
      <w:pPr>
        <w:pBdr>
          <w:top w:val="nil"/>
          <w:left w:val="nil"/>
          <w:bottom w:val="nil"/>
          <w:right w:val="nil"/>
          <w:between w:val="nil"/>
        </w:pBd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Several barriers were identified to the prescribing of modern GC medications (Figure </w:t>
      </w:r>
      <w:r w:rsidR="00C27353">
        <w:rPr>
          <w:rFonts w:ascii="Calibri" w:eastAsia="Calibri" w:hAnsi="Calibri" w:cs="Calibri"/>
          <w:sz w:val="24"/>
          <w:szCs w:val="24"/>
        </w:rPr>
        <w:t>5</w:t>
      </w:r>
      <w:r>
        <w:rPr>
          <w:rFonts w:ascii="Calibri" w:eastAsia="Calibri" w:hAnsi="Calibri" w:cs="Calibri"/>
          <w:sz w:val="24"/>
          <w:szCs w:val="24"/>
        </w:rPr>
        <w:t xml:space="preserve">). The most frequently reported barrier was cost. Centres cited high costs as a barrier to the adoption of various modern GCs. Specifically, five centres reported cost-related barriers to adopting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(three from high-income countries, one from an upper-middle-income country, and one from a lower-middle-income country). Three centres reported similar concerns regarding Plenadren® (two from high-income countries and one from an upper-middle-income country), while four centres cited cost as a barrier to adopting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(two from high-income countries, one from a lower-middle-income country, and one from a low-income country). Three centres noted cost as a barrier to adopting </w:t>
      </w:r>
      <w:proofErr w:type="spellStart"/>
      <w:r>
        <w:rPr>
          <w:rFonts w:ascii="Calibri" w:eastAsia="Calibri" w:hAnsi="Calibri" w:cs="Calibri"/>
          <w:sz w:val="24"/>
          <w:szCs w:val="24"/>
        </w:rPr>
        <w:t>Acecort</w:t>
      </w:r>
      <w:proofErr w:type="spellEnd"/>
      <w:r>
        <w:rPr>
          <w:rFonts w:ascii="Calibri" w:eastAsia="Calibri" w:hAnsi="Calibri" w:cs="Calibri"/>
          <w:sz w:val="24"/>
          <w:szCs w:val="24"/>
        </w:rPr>
        <w:t>® (two from high-income countries and one from a lower-middle-income country).</w:t>
      </w:r>
      <w:r w:rsidR="00C27353">
        <w:rPr>
          <w:rFonts w:ascii="Calibri" w:eastAsia="Calibri" w:hAnsi="Calibri" w:cs="Calibri"/>
          <w:sz w:val="24"/>
          <w:szCs w:val="24"/>
        </w:rPr>
        <w:t xml:space="preserve"> There was a trend to GDP being higher in countries where novel </w:t>
      </w:r>
      <w:proofErr w:type="gramStart"/>
      <w:r w:rsidR="00C27353">
        <w:rPr>
          <w:rFonts w:ascii="Calibri" w:eastAsia="Calibri" w:hAnsi="Calibri" w:cs="Calibri"/>
          <w:sz w:val="24"/>
          <w:szCs w:val="24"/>
        </w:rPr>
        <w:t>GC’s</w:t>
      </w:r>
      <w:proofErr w:type="gramEnd"/>
      <w:r w:rsidR="00C27353">
        <w:rPr>
          <w:rFonts w:ascii="Calibri" w:eastAsia="Calibri" w:hAnsi="Calibri" w:cs="Calibri"/>
          <w:sz w:val="24"/>
          <w:szCs w:val="24"/>
        </w:rPr>
        <w:t xml:space="preserve"> were prescribed (p=0.076, Figure </w:t>
      </w:r>
      <w:r w:rsidR="002744D2">
        <w:rPr>
          <w:rFonts w:ascii="Calibri" w:eastAsia="Calibri" w:hAnsi="Calibri" w:cs="Calibri"/>
          <w:sz w:val="24"/>
          <w:szCs w:val="24"/>
        </w:rPr>
        <w:t>2</w:t>
      </w:r>
      <w:r w:rsidR="00C27353">
        <w:rPr>
          <w:rFonts w:ascii="Calibri" w:eastAsia="Calibri" w:hAnsi="Calibri" w:cs="Calibri"/>
          <w:sz w:val="24"/>
          <w:szCs w:val="24"/>
        </w:rPr>
        <w:t>).</w:t>
      </w:r>
    </w:p>
    <w:p w14:paraId="7659108F" w14:textId="685AB66C" w:rsidR="00C27353" w:rsidRDefault="00E906A9">
      <w:pPr>
        <w:pBdr>
          <w:top w:val="nil"/>
          <w:left w:val="nil"/>
          <w:bottom w:val="nil"/>
          <w:right w:val="nil"/>
          <w:between w:val="nil"/>
        </w:pBdr>
        <w:spacing w:before="240" w:after="240" w:line="480" w:lineRule="auto"/>
        <w:jc w:val="both"/>
        <w:rPr>
          <w:rFonts w:ascii="Calibri" w:eastAsia="Calibri" w:hAnsi="Calibri" w:cs="Calibri"/>
          <w:b/>
          <w:bCs/>
          <w:sz w:val="24"/>
          <w:szCs w:val="24"/>
        </w:rPr>
      </w:pPr>
      <w:r w:rsidRPr="00E906A9">
        <w:rPr>
          <w:rFonts w:ascii="Calibri" w:eastAsia="Calibri" w:hAnsi="Calibri" w:cs="Calibri"/>
          <w:b/>
          <w:bCs/>
          <w:noProof/>
          <w:sz w:val="24"/>
          <w:szCs w:val="24"/>
        </w:rPr>
        <w:lastRenderedPageBreak/>
        <w:drawing>
          <wp:inline distT="0" distB="0" distL="0" distR="0" wp14:anchorId="7B152CEA" wp14:editId="2B5F231A">
            <wp:extent cx="4700588" cy="4700588"/>
            <wp:effectExtent l="0" t="0" r="0" b="0"/>
            <wp:docPr id="2054402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02806" name=""/>
                    <pic:cNvPicPr/>
                  </pic:nvPicPr>
                  <pic:blipFill>
                    <a:blip r:embed="rId14"/>
                    <a:stretch>
                      <a:fillRect/>
                    </a:stretch>
                  </pic:blipFill>
                  <pic:spPr>
                    <a:xfrm>
                      <a:off x="0" y="0"/>
                      <a:ext cx="4707479" cy="4707479"/>
                    </a:xfrm>
                    <a:prstGeom prst="rect">
                      <a:avLst/>
                    </a:prstGeom>
                  </pic:spPr>
                </pic:pic>
              </a:graphicData>
            </a:graphic>
          </wp:inline>
        </w:drawing>
      </w:r>
    </w:p>
    <w:p w14:paraId="3FB1B25D" w14:textId="54E21FF9" w:rsidR="00C27353" w:rsidRPr="00215C13" w:rsidRDefault="00C27353" w:rsidP="00215C13">
      <w:pPr>
        <w:spacing w:line="480" w:lineRule="auto"/>
        <w:jc w:val="both"/>
        <w:rPr>
          <w:rFonts w:ascii="Calibri" w:eastAsia="Calibri" w:hAnsi="Calibri" w:cs="Calibri"/>
          <w:b/>
          <w:bCs/>
          <w:sz w:val="24"/>
          <w:szCs w:val="24"/>
        </w:rPr>
      </w:pPr>
      <w:r>
        <w:rPr>
          <w:b/>
          <w:i/>
          <w:sz w:val="20"/>
          <w:szCs w:val="20"/>
        </w:rPr>
        <w:t xml:space="preserve">Figure 2. </w:t>
      </w:r>
      <w:r>
        <w:rPr>
          <w:i/>
          <w:sz w:val="20"/>
          <w:szCs w:val="20"/>
        </w:rPr>
        <w:t xml:space="preserve">Boxplot showing the difference in GDP per capita between </w:t>
      </w:r>
      <w:proofErr w:type="gramStart"/>
      <w:r>
        <w:rPr>
          <w:i/>
          <w:sz w:val="20"/>
          <w:szCs w:val="20"/>
        </w:rPr>
        <w:t>countries  where</w:t>
      </w:r>
      <w:proofErr w:type="gramEnd"/>
      <w:r>
        <w:rPr>
          <w:i/>
          <w:sz w:val="20"/>
          <w:szCs w:val="20"/>
        </w:rPr>
        <w:t xml:space="preserve"> modern GC medication was used (n=6) compared to those where novel GC were not used (n=14)</w:t>
      </w:r>
    </w:p>
    <w:p w14:paraId="34AC4EB2" w14:textId="6E5EE8F7"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Other barriers included a lack of confidence in prescribing specific modern GCs. One centre each cited a lack of confidence in prescribing Plenadren® and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Additionally, some centres reported limited awareness of the availability of certain modern GCs, with one centre indicating this concern for Plenadren®, one for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and two for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Logistical constraints, such as issues with supply chains, were reported as barriers by several centres: six centres cited logistical constraints for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eight for Plenadren®, six for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and nine for </w:t>
      </w:r>
      <w:proofErr w:type="spellStart"/>
      <w:r>
        <w:rPr>
          <w:rFonts w:ascii="Calibri" w:eastAsia="Calibri" w:hAnsi="Calibri" w:cs="Calibri"/>
          <w:sz w:val="24"/>
          <w:szCs w:val="24"/>
        </w:rPr>
        <w:t>Acecort</w:t>
      </w:r>
      <w:proofErr w:type="spellEnd"/>
      <w:r>
        <w:rPr>
          <w:rFonts w:ascii="Calibri" w:eastAsia="Calibri" w:hAnsi="Calibri" w:cs="Calibri"/>
          <w:sz w:val="24"/>
          <w:szCs w:val="24"/>
        </w:rPr>
        <w:t>®.</w:t>
      </w:r>
      <w:r w:rsidR="008A4257">
        <w:rPr>
          <w:rFonts w:ascii="Calibri" w:eastAsia="Calibri" w:hAnsi="Calibri" w:cs="Calibri"/>
          <w:sz w:val="24"/>
          <w:szCs w:val="24"/>
        </w:rPr>
        <w:t xml:space="preserve"> </w:t>
      </w:r>
      <w:r w:rsidR="004011AE">
        <w:rPr>
          <w:rFonts w:ascii="Calibri" w:eastAsia="Calibri" w:hAnsi="Calibri" w:cs="Calibri"/>
          <w:sz w:val="24"/>
          <w:szCs w:val="24"/>
        </w:rPr>
        <w:t xml:space="preserve">Novel medications were prescribed in 8 centres based in 6 countries. </w:t>
      </w:r>
      <w:r w:rsidR="00F4412E">
        <w:rPr>
          <w:rFonts w:ascii="Calibri" w:eastAsia="Calibri" w:hAnsi="Calibri" w:cs="Calibri"/>
          <w:sz w:val="24"/>
          <w:szCs w:val="24"/>
        </w:rPr>
        <w:t>Overall,</w:t>
      </w:r>
      <w:r w:rsidR="004011AE">
        <w:rPr>
          <w:rFonts w:ascii="Calibri" w:eastAsia="Calibri" w:hAnsi="Calibri" w:cs="Calibri"/>
          <w:sz w:val="24"/>
          <w:szCs w:val="24"/>
        </w:rPr>
        <w:t xml:space="preserve"> there were 24 centres based in these 6 countries reporting</w:t>
      </w:r>
      <w:r w:rsidR="00F4412E">
        <w:rPr>
          <w:rFonts w:ascii="Calibri" w:eastAsia="Calibri" w:hAnsi="Calibri" w:cs="Calibri"/>
          <w:sz w:val="24"/>
          <w:szCs w:val="24"/>
        </w:rPr>
        <w:t xml:space="preserve"> data</w:t>
      </w:r>
      <w:r w:rsidR="004011AE">
        <w:rPr>
          <w:rFonts w:ascii="Calibri" w:eastAsia="Calibri" w:hAnsi="Calibri" w:cs="Calibri"/>
          <w:sz w:val="24"/>
          <w:szCs w:val="24"/>
        </w:rPr>
        <w:t xml:space="preserve"> into the registry. </w:t>
      </w:r>
      <w:r w:rsidR="00C27353" w:rsidRPr="00C27353">
        <w:rPr>
          <w:rFonts w:ascii="Calibri" w:eastAsia="Calibri" w:hAnsi="Calibri" w:cs="Calibri"/>
          <w:sz w:val="24"/>
          <w:szCs w:val="24"/>
        </w:rPr>
        <w:lastRenderedPageBreak/>
        <w:t>There were differences in prescribing practices within countries with some centres reporting the medication as not available/not licensed in their country where other centres in the same country were able to prescribe it.</w:t>
      </w:r>
    </w:p>
    <w:p w14:paraId="5153E558" w14:textId="77777777" w:rsidR="0012549D" w:rsidRDefault="00000000">
      <w:pPr>
        <w:widowControl w:val="0"/>
        <w:spacing w:line="240" w:lineRule="auto"/>
        <w:jc w:val="center"/>
        <w:rPr>
          <w:b/>
          <w:i/>
          <w:sz w:val="16"/>
          <w:szCs w:val="16"/>
        </w:rPr>
      </w:pPr>
      <w:r>
        <w:rPr>
          <w:rFonts w:ascii="Calibri" w:eastAsia="Calibri" w:hAnsi="Calibri" w:cs="Calibri"/>
          <w:b/>
          <w:noProof/>
          <w:sz w:val="24"/>
          <w:szCs w:val="24"/>
        </w:rPr>
        <w:drawing>
          <wp:inline distT="114300" distB="114300" distL="114300" distR="114300" wp14:anchorId="4E896F16" wp14:editId="09777F6E">
            <wp:extent cx="3609975" cy="3609975"/>
            <wp:effectExtent l="0" t="0" r="0" b="0"/>
            <wp:docPr id="14233274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3609975" cy="3609975"/>
                    </a:xfrm>
                    <a:prstGeom prst="rect">
                      <a:avLst/>
                    </a:prstGeom>
                    <a:ln/>
                  </pic:spPr>
                </pic:pic>
              </a:graphicData>
            </a:graphic>
          </wp:inline>
        </w:drawing>
      </w:r>
    </w:p>
    <w:p w14:paraId="782BBA41" w14:textId="4DBD4366" w:rsidR="0012549D" w:rsidRDefault="00000000">
      <w:pPr>
        <w:spacing w:line="480" w:lineRule="auto"/>
        <w:jc w:val="both"/>
        <w:rPr>
          <w:i/>
          <w:sz w:val="16"/>
          <w:szCs w:val="16"/>
        </w:rPr>
      </w:pPr>
      <w:r>
        <w:rPr>
          <w:b/>
          <w:i/>
          <w:sz w:val="20"/>
          <w:szCs w:val="20"/>
        </w:rPr>
        <w:t xml:space="preserve">Figure </w:t>
      </w:r>
      <w:r w:rsidR="00C27353">
        <w:rPr>
          <w:b/>
          <w:i/>
          <w:sz w:val="20"/>
          <w:szCs w:val="20"/>
        </w:rPr>
        <w:t>3</w:t>
      </w:r>
      <w:r>
        <w:rPr>
          <w:b/>
          <w:i/>
          <w:sz w:val="20"/>
          <w:szCs w:val="20"/>
        </w:rPr>
        <w:t>.</w:t>
      </w:r>
      <w:r>
        <w:rPr>
          <w:i/>
          <w:sz w:val="20"/>
          <w:szCs w:val="20"/>
        </w:rPr>
        <w:t xml:space="preserve"> Percentage of patients on modern medications for CAH (Congenital Adrenal Hyperplasia) from 2017-2023 in different geographical areas with different countries being denoted by a different letter.</w:t>
      </w:r>
    </w:p>
    <w:p w14:paraId="40954A0C" w14:textId="60F736C9" w:rsidR="0012549D" w:rsidRDefault="0006150C">
      <w:pPr>
        <w:widowControl w:val="0"/>
        <w:spacing w:line="240" w:lineRule="auto"/>
        <w:jc w:val="center"/>
        <w:rPr>
          <w:i/>
          <w:sz w:val="16"/>
          <w:szCs w:val="16"/>
        </w:rPr>
      </w:pPr>
      <w:r w:rsidRPr="0006150C">
        <w:rPr>
          <w:i/>
          <w:noProof/>
          <w:sz w:val="16"/>
          <w:szCs w:val="16"/>
        </w:rPr>
        <w:lastRenderedPageBreak/>
        <w:drawing>
          <wp:inline distT="0" distB="0" distL="0" distR="0" wp14:anchorId="06FDB030" wp14:editId="25C8D90D">
            <wp:extent cx="4131399" cy="3541395"/>
            <wp:effectExtent l="0" t="0" r="0" b="1905"/>
            <wp:docPr id="1375980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980736" name=""/>
                    <pic:cNvPicPr/>
                  </pic:nvPicPr>
                  <pic:blipFill>
                    <a:blip r:embed="rId16"/>
                    <a:stretch>
                      <a:fillRect/>
                    </a:stretch>
                  </pic:blipFill>
                  <pic:spPr>
                    <a:xfrm>
                      <a:off x="0" y="0"/>
                      <a:ext cx="4180433" cy="3583427"/>
                    </a:xfrm>
                    <a:prstGeom prst="rect">
                      <a:avLst/>
                    </a:prstGeom>
                  </pic:spPr>
                </pic:pic>
              </a:graphicData>
            </a:graphic>
          </wp:inline>
        </w:drawing>
      </w:r>
    </w:p>
    <w:p w14:paraId="3A46808E" w14:textId="00BD5166" w:rsidR="00C8342A" w:rsidRDefault="00000000">
      <w:pPr>
        <w:spacing w:line="480" w:lineRule="auto"/>
        <w:jc w:val="both"/>
        <w:rPr>
          <w:i/>
          <w:sz w:val="20"/>
          <w:szCs w:val="20"/>
        </w:rPr>
      </w:pPr>
      <w:r>
        <w:rPr>
          <w:b/>
          <w:i/>
          <w:sz w:val="20"/>
          <w:szCs w:val="20"/>
        </w:rPr>
        <w:t xml:space="preserve">Figure </w:t>
      </w:r>
      <w:r w:rsidR="00C27353">
        <w:rPr>
          <w:b/>
          <w:i/>
          <w:sz w:val="20"/>
          <w:szCs w:val="20"/>
        </w:rPr>
        <w:t>4</w:t>
      </w:r>
      <w:r>
        <w:rPr>
          <w:b/>
          <w:i/>
          <w:sz w:val="20"/>
          <w:szCs w:val="20"/>
        </w:rPr>
        <w:t xml:space="preserve">. </w:t>
      </w:r>
      <w:r>
        <w:rPr>
          <w:i/>
          <w:sz w:val="20"/>
          <w:szCs w:val="20"/>
        </w:rPr>
        <w:t xml:space="preserve">Bar chart showing the frequency of uptake of modern GC medications per country by 2023. </w:t>
      </w:r>
      <w:r w:rsidR="009E53A0">
        <w:rPr>
          <w:i/>
          <w:sz w:val="20"/>
          <w:szCs w:val="20"/>
        </w:rPr>
        <w:t>Frequency represents the total number of patients on each medication by 2023, with d</w:t>
      </w:r>
      <w:r>
        <w:rPr>
          <w:i/>
          <w:sz w:val="20"/>
          <w:szCs w:val="20"/>
        </w:rPr>
        <w:t xml:space="preserve">ifferent </w:t>
      </w:r>
      <w:proofErr w:type="gramStart"/>
      <w:r>
        <w:rPr>
          <w:i/>
          <w:sz w:val="20"/>
          <w:szCs w:val="20"/>
        </w:rPr>
        <w:t>countries  denoted</w:t>
      </w:r>
      <w:proofErr w:type="gramEnd"/>
      <w:r>
        <w:rPr>
          <w:i/>
          <w:sz w:val="20"/>
          <w:szCs w:val="20"/>
        </w:rPr>
        <w:t xml:space="preserve"> by letters.</w:t>
      </w:r>
    </w:p>
    <w:p w14:paraId="79E878BD" w14:textId="77777777" w:rsidR="00C8342A" w:rsidRDefault="00C8342A">
      <w:pPr>
        <w:rPr>
          <w:i/>
          <w:sz w:val="20"/>
          <w:szCs w:val="20"/>
        </w:rPr>
      </w:pPr>
      <w:r>
        <w:rPr>
          <w:i/>
          <w:sz w:val="20"/>
          <w:szCs w:val="20"/>
        </w:rPr>
        <w:br w:type="page"/>
      </w:r>
    </w:p>
    <w:p w14:paraId="2203A428" w14:textId="77777777" w:rsidR="0012549D" w:rsidRDefault="0012549D">
      <w:pPr>
        <w:spacing w:line="480" w:lineRule="auto"/>
        <w:jc w:val="both"/>
        <w:rPr>
          <w:i/>
          <w:sz w:val="20"/>
          <w:szCs w:val="20"/>
        </w:rPr>
      </w:pPr>
    </w:p>
    <w:p w14:paraId="3DBEAB64" w14:textId="77777777" w:rsidR="0012549D" w:rsidRDefault="0012549D">
      <w:pPr>
        <w:spacing w:line="480" w:lineRule="auto"/>
        <w:jc w:val="both"/>
        <w:rPr>
          <w:b/>
          <w:i/>
          <w:sz w:val="16"/>
          <w:szCs w:val="16"/>
        </w:rPr>
      </w:pPr>
    </w:p>
    <w:p w14:paraId="56C1F311" w14:textId="77777777" w:rsidR="0012549D" w:rsidRDefault="00000000">
      <w:pPr>
        <w:spacing w:line="360" w:lineRule="auto"/>
        <w:jc w:val="center"/>
        <w:rPr>
          <w:b/>
          <w:i/>
          <w:sz w:val="16"/>
          <w:szCs w:val="16"/>
        </w:rPr>
      </w:pPr>
      <w:r>
        <w:rPr>
          <w:rFonts w:ascii="Calibri" w:eastAsia="Calibri" w:hAnsi="Calibri" w:cs="Calibri"/>
          <w:noProof/>
          <w:sz w:val="24"/>
          <w:szCs w:val="24"/>
        </w:rPr>
        <w:drawing>
          <wp:inline distT="114300" distB="114300" distL="114300" distR="114300" wp14:anchorId="11B3919B" wp14:editId="000B6BA5">
            <wp:extent cx="4810125" cy="3744516"/>
            <wp:effectExtent l="0" t="0" r="3175" b="2540"/>
            <wp:docPr id="1423327464" name="image4.jpg"/>
            <wp:cNvGraphicFramePr/>
            <a:graphic xmlns:a="http://schemas.openxmlformats.org/drawingml/2006/main">
              <a:graphicData uri="http://schemas.openxmlformats.org/drawingml/2006/picture">
                <pic:pic xmlns:pic="http://schemas.openxmlformats.org/drawingml/2006/picture">
                  <pic:nvPicPr>
                    <pic:cNvPr id="1423327464" name="image4.jpg"/>
                    <pic:cNvPicPr preferRelativeResize="0"/>
                  </pic:nvPicPr>
                  <pic:blipFill>
                    <a:blip r:embed="rId17"/>
                    <a:srcRect t="1346" b="1346"/>
                    <a:stretch>
                      <a:fillRect/>
                    </a:stretch>
                  </pic:blipFill>
                  <pic:spPr>
                    <a:xfrm>
                      <a:off x="0" y="0"/>
                      <a:ext cx="4810125" cy="3744516"/>
                    </a:xfrm>
                    <a:prstGeom prst="rect">
                      <a:avLst/>
                    </a:prstGeom>
                    <a:ln/>
                  </pic:spPr>
                </pic:pic>
              </a:graphicData>
            </a:graphic>
          </wp:inline>
        </w:drawing>
      </w:r>
    </w:p>
    <w:p w14:paraId="6996C7E9" w14:textId="3B49E291" w:rsidR="0012549D" w:rsidRDefault="00000000">
      <w:pPr>
        <w:spacing w:line="480" w:lineRule="auto"/>
        <w:jc w:val="both"/>
        <w:rPr>
          <w:i/>
          <w:sz w:val="20"/>
          <w:szCs w:val="20"/>
        </w:rPr>
      </w:pPr>
      <w:r>
        <w:rPr>
          <w:b/>
          <w:i/>
          <w:sz w:val="20"/>
          <w:szCs w:val="20"/>
        </w:rPr>
        <w:t xml:space="preserve">Figure </w:t>
      </w:r>
      <w:r w:rsidR="00C27353">
        <w:rPr>
          <w:b/>
          <w:i/>
          <w:sz w:val="20"/>
          <w:szCs w:val="20"/>
        </w:rPr>
        <w:t>5</w:t>
      </w:r>
      <w:r>
        <w:rPr>
          <w:i/>
          <w:sz w:val="20"/>
          <w:szCs w:val="20"/>
        </w:rPr>
        <w:t>. Bar chart showing reported barriers for prescribing according to the type of modern GC.</w:t>
      </w:r>
      <w:r w:rsidR="001724C3">
        <w:rPr>
          <w:i/>
          <w:sz w:val="20"/>
          <w:szCs w:val="20"/>
        </w:rPr>
        <w:t xml:space="preserve"> Barriers to prescribing new medications included; medication not approved yet (legislation not in place), poor marketing of the </w:t>
      </w:r>
      <w:r w:rsidR="00280BFE">
        <w:rPr>
          <w:i/>
          <w:sz w:val="20"/>
          <w:szCs w:val="20"/>
        </w:rPr>
        <w:t>GC</w:t>
      </w:r>
      <w:r w:rsidR="00B72282">
        <w:rPr>
          <w:i/>
          <w:sz w:val="20"/>
          <w:szCs w:val="20"/>
        </w:rPr>
        <w:t xml:space="preserve"> preparation (not aware of its availability), not confident in prescribing, not physically available (supply chain not established), </w:t>
      </w:r>
      <w:r w:rsidR="009D199F">
        <w:rPr>
          <w:i/>
          <w:sz w:val="20"/>
          <w:szCs w:val="20"/>
        </w:rPr>
        <w:t>O</w:t>
      </w:r>
      <w:r w:rsidR="00B72282">
        <w:rPr>
          <w:i/>
          <w:sz w:val="20"/>
          <w:szCs w:val="20"/>
        </w:rPr>
        <w:t>ther (</w:t>
      </w:r>
      <w:r w:rsidR="009D199F">
        <w:rPr>
          <w:i/>
          <w:sz w:val="20"/>
          <w:szCs w:val="20"/>
        </w:rPr>
        <w:t>n</w:t>
      </w:r>
      <w:r w:rsidR="00B72282" w:rsidRPr="00B72282">
        <w:rPr>
          <w:i/>
          <w:sz w:val="20"/>
          <w:szCs w:val="20"/>
        </w:rPr>
        <w:t>o suitable patient, local prescribing approval not in place</w:t>
      </w:r>
      <w:r w:rsidR="009D199F">
        <w:rPr>
          <w:i/>
          <w:sz w:val="20"/>
          <w:szCs w:val="20"/>
        </w:rPr>
        <w:t>,</w:t>
      </w:r>
      <w:r w:rsidR="00B72282" w:rsidRPr="00B72282">
        <w:rPr>
          <w:i/>
          <w:sz w:val="20"/>
          <w:szCs w:val="20"/>
        </w:rPr>
        <w:t xml:space="preserve"> </w:t>
      </w:r>
      <w:r w:rsidR="009D199F">
        <w:rPr>
          <w:i/>
          <w:sz w:val="20"/>
          <w:szCs w:val="20"/>
        </w:rPr>
        <w:t>c</w:t>
      </w:r>
      <w:r w:rsidR="00B72282" w:rsidRPr="00B72282">
        <w:rPr>
          <w:i/>
          <w:sz w:val="20"/>
          <w:szCs w:val="20"/>
        </w:rPr>
        <w:t>entre only manages adults-</w:t>
      </w:r>
      <w:proofErr w:type="spellStart"/>
      <w:r w:rsidR="00B72282">
        <w:rPr>
          <w:i/>
          <w:sz w:val="20"/>
          <w:szCs w:val="20"/>
        </w:rPr>
        <w:t>A</w:t>
      </w:r>
      <w:r w:rsidR="00B72282" w:rsidRPr="00B72282">
        <w:rPr>
          <w:i/>
          <w:sz w:val="20"/>
          <w:szCs w:val="20"/>
        </w:rPr>
        <w:t>lkindi</w:t>
      </w:r>
      <w:proofErr w:type="spellEnd"/>
      <w:r w:rsidR="00B72282" w:rsidRPr="00B72282">
        <w:rPr>
          <w:i/>
          <w:sz w:val="20"/>
          <w:szCs w:val="20"/>
        </w:rPr>
        <w:t xml:space="preserve"> not licensed for adults, patient accessed </w:t>
      </w:r>
      <w:r w:rsidR="009D199F">
        <w:rPr>
          <w:i/>
          <w:sz w:val="20"/>
          <w:szCs w:val="20"/>
        </w:rPr>
        <w:t>new medication</w:t>
      </w:r>
      <w:r w:rsidR="00B72282" w:rsidRPr="00B72282">
        <w:rPr>
          <w:i/>
          <w:sz w:val="20"/>
          <w:szCs w:val="20"/>
        </w:rPr>
        <w:t xml:space="preserve"> through cares foundation</w:t>
      </w:r>
      <w:r w:rsidR="00B72282">
        <w:rPr>
          <w:i/>
          <w:sz w:val="20"/>
          <w:szCs w:val="20"/>
        </w:rPr>
        <w:t>).</w:t>
      </w:r>
    </w:p>
    <w:p w14:paraId="588035B2" w14:textId="77777777" w:rsidR="0012549D" w:rsidRDefault="0012549D">
      <w:pPr>
        <w:spacing w:line="480" w:lineRule="auto"/>
        <w:jc w:val="both"/>
        <w:rPr>
          <w:i/>
          <w:sz w:val="16"/>
          <w:szCs w:val="16"/>
        </w:rPr>
      </w:pPr>
    </w:p>
    <w:p w14:paraId="4998D7C3" w14:textId="77777777" w:rsidR="0012549D" w:rsidRDefault="0012549D">
      <w:pPr>
        <w:spacing w:line="480" w:lineRule="auto"/>
        <w:jc w:val="both"/>
        <w:rPr>
          <w:i/>
          <w:sz w:val="16"/>
          <w:szCs w:val="16"/>
        </w:rPr>
      </w:pPr>
    </w:p>
    <w:p w14:paraId="079A357A" w14:textId="77777777" w:rsidR="0012549D" w:rsidRDefault="00000000">
      <w:pPr>
        <w:spacing w:line="360" w:lineRule="auto"/>
        <w:jc w:val="center"/>
        <w:rPr>
          <w:i/>
          <w:sz w:val="16"/>
          <w:szCs w:val="16"/>
        </w:rPr>
      </w:pPr>
      <w:r>
        <w:rPr>
          <w:rFonts w:ascii="Calibri" w:eastAsia="Calibri" w:hAnsi="Calibri" w:cs="Calibri"/>
          <w:noProof/>
          <w:sz w:val="24"/>
          <w:szCs w:val="24"/>
        </w:rPr>
        <w:lastRenderedPageBreak/>
        <w:drawing>
          <wp:inline distT="114300" distB="114300" distL="114300" distR="114300" wp14:anchorId="76A03DF6" wp14:editId="7C75F2A3">
            <wp:extent cx="4768688" cy="2390775"/>
            <wp:effectExtent l="0" t="0" r="0" b="0"/>
            <wp:docPr id="142332746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l="1490" t="9154" r="848" b="2463"/>
                    <a:stretch>
                      <a:fillRect/>
                    </a:stretch>
                  </pic:blipFill>
                  <pic:spPr>
                    <a:xfrm>
                      <a:off x="0" y="0"/>
                      <a:ext cx="4768688" cy="2390775"/>
                    </a:xfrm>
                    <a:prstGeom prst="rect">
                      <a:avLst/>
                    </a:prstGeom>
                    <a:ln/>
                  </pic:spPr>
                </pic:pic>
              </a:graphicData>
            </a:graphic>
          </wp:inline>
        </w:drawing>
      </w:r>
    </w:p>
    <w:p w14:paraId="154AA517" w14:textId="46F6B9BB" w:rsidR="0012549D" w:rsidRDefault="00000000">
      <w:pPr>
        <w:spacing w:line="480" w:lineRule="auto"/>
        <w:jc w:val="both"/>
        <w:rPr>
          <w:rFonts w:ascii="Calibri" w:eastAsia="Calibri" w:hAnsi="Calibri" w:cs="Calibri"/>
          <w:b/>
          <w:sz w:val="28"/>
          <w:szCs w:val="28"/>
        </w:rPr>
      </w:pPr>
      <w:r>
        <w:rPr>
          <w:b/>
          <w:i/>
          <w:sz w:val="20"/>
          <w:szCs w:val="20"/>
        </w:rPr>
        <w:t xml:space="preserve">Figure </w:t>
      </w:r>
      <w:r w:rsidR="00C27353">
        <w:rPr>
          <w:b/>
          <w:i/>
          <w:sz w:val="20"/>
          <w:szCs w:val="20"/>
        </w:rPr>
        <w:t>6</w:t>
      </w:r>
      <w:r>
        <w:rPr>
          <w:i/>
          <w:sz w:val="20"/>
          <w:szCs w:val="20"/>
        </w:rPr>
        <w:t>. Bar chart showing the availability of drugs (traditional and modern) across the 39 participating centres at the end of 2023.</w:t>
      </w:r>
      <w:r>
        <w:br w:type="page"/>
      </w:r>
    </w:p>
    <w:p w14:paraId="6BAC1A20" w14:textId="77777777" w:rsidR="0012549D" w:rsidRDefault="00000000">
      <w:pPr>
        <w:spacing w:line="480" w:lineRule="auto"/>
        <w:jc w:val="both"/>
        <w:rPr>
          <w:rFonts w:ascii="Calibri" w:eastAsia="Calibri" w:hAnsi="Calibri" w:cs="Calibri"/>
          <w:b/>
          <w:sz w:val="28"/>
          <w:szCs w:val="28"/>
        </w:rPr>
      </w:pPr>
      <w:r>
        <w:rPr>
          <w:rFonts w:ascii="Calibri" w:eastAsia="Calibri" w:hAnsi="Calibri" w:cs="Calibri"/>
          <w:b/>
          <w:sz w:val="28"/>
          <w:szCs w:val="28"/>
        </w:rPr>
        <w:lastRenderedPageBreak/>
        <w:t>DISCUSSION</w:t>
      </w:r>
    </w:p>
    <w:p w14:paraId="4473355C"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This international multicentre registry study of 790 individuals with 21-OHD provides new insights into GC prescribing trends and barriers to the adoption of modern therapies. Despite increasing global availability, the adoption of modern GCs—defined in this study as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Efmody</w:t>
      </w:r>
      <w:proofErr w:type="spellEnd"/>
      <w:r>
        <w:rPr>
          <w:rFonts w:ascii="Calibri" w:eastAsia="Calibri" w:hAnsi="Calibri" w:cs="Calibri"/>
          <w:sz w:val="24"/>
          <w:szCs w:val="24"/>
        </w:rPr>
        <w:t>®, and Plenadren®—remained limited over the study period from 2017 to 2023. Only 5.6% of patients transitioned from traditional GC therapies to modern alternatives, indicating slow integration into routine care.</w:t>
      </w:r>
    </w:p>
    <w:p w14:paraId="12D2EE4E"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A marked increase in the availability and prescription of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was observed starting in 2021, coinciding with their regulatory approval timelines.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Diurnal’s first licensed paediatric hydrocortisone formulation, was approved via the EU Paediatric Use Marketing Authorisation (PUMA) route in 2018. Initially, it experienced limited uptake but gradually gained popularity over time, likely due to the growing recognition of the clinical need for accurate dosing in infants and young children, a gap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addressed with its availability in 0.5 to 5 mg doses </w:t>
      </w:r>
      <w:r>
        <w:rPr>
          <w:rFonts w:ascii="Calibri" w:eastAsia="Calibri" w:hAnsi="Calibri" w:cs="Calibri"/>
          <w:sz w:val="24"/>
          <w:szCs w:val="24"/>
          <w:vertAlign w:val="superscript"/>
        </w:rPr>
        <w:t>22</w:t>
      </w:r>
      <w:r>
        <w:rPr>
          <w:rFonts w:ascii="Calibri" w:eastAsia="Calibri" w:hAnsi="Calibri" w:cs="Calibri"/>
          <w:sz w:val="24"/>
          <w:szCs w:val="24"/>
        </w:rPr>
        <w:t xml:space="preserve">. </w:t>
      </w:r>
    </w:p>
    <w:p w14:paraId="410CDEAF" w14:textId="77777777" w:rsidR="0012549D" w:rsidRDefault="00000000">
      <w:pPr>
        <w:spacing w:before="240" w:after="240" w:line="480" w:lineRule="auto"/>
        <w:rPr>
          <w:rFonts w:ascii="Calibri" w:eastAsia="Calibri" w:hAnsi="Calibri" w:cs="Calibri"/>
          <w:sz w:val="24"/>
          <w:szCs w:val="24"/>
        </w:rPr>
      </w:pP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Diurnal’s second GC product, received marketing authorisation from the European Commission in May 2021. The commercial launch of </w:t>
      </w:r>
      <w:proofErr w:type="spellStart"/>
      <w:r>
        <w:rPr>
          <w:rFonts w:ascii="Calibri" w:eastAsia="Calibri" w:hAnsi="Calibri" w:cs="Calibri"/>
          <w:sz w:val="24"/>
          <w:szCs w:val="24"/>
        </w:rPr>
        <w:t>Efmody</w:t>
      </w:r>
      <w:proofErr w:type="spellEnd"/>
      <w:r>
        <w:rPr>
          <w:rFonts w:ascii="Calibri" w:eastAsia="Calibri" w:hAnsi="Calibri" w:cs="Calibri"/>
          <w:sz w:val="24"/>
          <w:szCs w:val="24"/>
        </w:rPr>
        <w:t>® in Europe took place in September 2021, following its approval by the UK Medicines and Healthcare Products Regulatory Agency (MHRA) in July 2021. These regulatory milestones likely contributed to the spike in availability across participating centres from 2021 onwards.</w:t>
      </w:r>
    </w:p>
    <w:p w14:paraId="25C7A9D5"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Prescribing patterns differed by age, with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used exclusively in patients under 7 years of age and </w:t>
      </w:r>
      <w:proofErr w:type="spellStart"/>
      <w:r>
        <w:rPr>
          <w:rFonts w:ascii="Calibri" w:eastAsia="Calibri" w:hAnsi="Calibri" w:cs="Calibri"/>
          <w:sz w:val="24"/>
          <w:szCs w:val="24"/>
        </w:rPr>
        <w:t>Efmody</w:t>
      </w:r>
      <w:proofErr w:type="spellEnd"/>
      <w:r>
        <w:rPr>
          <w:rFonts w:ascii="Calibri" w:eastAsia="Calibri" w:hAnsi="Calibri" w:cs="Calibri"/>
          <w:sz w:val="24"/>
          <w:szCs w:val="24"/>
        </w:rPr>
        <w:t xml:space="preserve">® primarily prescribed in older children and adults. These findings reflect pharmacological licensing (for example, </w:t>
      </w:r>
      <w:proofErr w:type="spellStart"/>
      <w:r>
        <w:rPr>
          <w:rFonts w:ascii="Calibri" w:eastAsia="Calibri" w:hAnsi="Calibri" w:cs="Calibri"/>
          <w:sz w:val="24"/>
          <w:szCs w:val="24"/>
        </w:rPr>
        <w:t>Efmody</w:t>
      </w:r>
      <w:proofErr w:type="spellEnd"/>
      <w:r>
        <w:rPr>
          <w:rFonts w:ascii="Calibri" w:eastAsia="Calibri" w:hAnsi="Calibri" w:cs="Calibri"/>
          <w:sz w:val="24"/>
          <w:szCs w:val="24"/>
        </w:rPr>
        <w:t>® is only licensed for ages 12 and over)</w:t>
      </w:r>
      <w:r>
        <w:rPr>
          <w:rFonts w:ascii="Calibri" w:eastAsia="Calibri" w:hAnsi="Calibri" w:cs="Calibri"/>
          <w:sz w:val="24"/>
          <w:szCs w:val="24"/>
          <w:vertAlign w:val="superscript"/>
        </w:rPr>
        <w:t xml:space="preserve">23 </w:t>
      </w:r>
      <w:r>
        <w:rPr>
          <w:rFonts w:ascii="Calibri" w:eastAsia="Calibri" w:hAnsi="Calibri" w:cs="Calibri"/>
          <w:sz w:val="24"/>
          <w:szCs w:val="24"/>
        </w:rPr>
        <w:t xml:space="preserve">and </w:t>
      </w:r>
      <w:r>
        <w:rPr>
          <w:rFonts w:ascii="Calibri" w:eastAsia="Calibri" w:hAnsi="Calibri" w:cs="Calibri"/>
          <w:sz w:val="24"/>
          <w:szCs w:val="24"/>
        </w:rPr>
        <w:lastRenderedPageBreak/>
        <w:t xml:space="preserve">pharmacological tailoring of treatment to patient needs, aligning with the intended use of these formulations. </w:t>
      </w:r>
    </w:p>
    <w:p w14:paraId="77CB0414"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Inter-country differences in uptake were notable. While some high-income countries reported a substantial increase in modern GC availability, others showed minimal uptake, despite similar economic and healthcare contexts </w:t>
      </w:r>
      <w:r>
        <w:rPr>
          <w:rFonts w:ascii="Calibri" w:eastAsia="Calibri" w:hAnsi="Calibri" w:cs="Calibri"/>
          <w:sz w:val="24"/>
          <w:szCs w:val="24"/>
          <w:vertAlign w:val="superscript"/>
        </w:rPr>
        <w:t>8, 24</w:t>
      </w:r>
      <w:r>
        <w:rPr>
          <w:rFonts w:ascii="Calibri" w:eastAsia="Calibri" w:hAnsi="Calibri" w:cs="Calibri"/>
          <w:sz w:val="24"/>
          <w:szCs w:val="24"/>
        </w:rPr>
        <w:t xml:space="preserve">. This inconsistency mirrors findings from previous multinational studies on CAH management and highlights the ongoing variability in care delivery and medication availability for rare endocrine conditions </w:t>
      </w:r>
      <w:r>
        <w:rPr>
          <w:rFonts w:ascii="Calibri" w:eastAsia="Calibri" w:hAnsi="Calibri" w:cs="Calibri"/>
          <w:sz w:val="24"/>
          <w:szCs w:val="24"/>
          <w:vertAlign w:val="superscript"/>
        </w:rPr>
        <w:t>3, 19, 25</w:t>
      </w:r>
      <w:r>
        <w:rPr>
          <w:rFonts w:ascii="Calibri" w:eastAsia="Calibri" w:hAnsi="Calibri" w:cs="Calibri"/>
          <w:sz w:val="24"/>
          <w:szCs w:val="24"/>
        </w:rPr>
        <w:t xml:space="preserve">. </w:t>
      </w:r>
    </w:p>
    <w:p w14:paraId="426859D8"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 xml:space="preserve">The adoption of modern GC faces several notable hurdles. A prominent challenge, cited by up to 55% of centres in the case of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is the lack of regulatory approval. This suggests that despite recognised clinical needs and interest among healthcare professionals, delays in legislative processes remain a primary obstacle to their widespread use. Indeed, insights from Diurnal, the manufacturer of </w:t>
      </w:r>
      <w:proofErr w:type="spellStart"/>
      <w:r>
        <w:rPr>
          <w:rFonts w:ascii="Calibri" w:eastAsia="Calibri" w:hAnsi="Calibri" w:cs="Calibri"/>
          <w:sz w:val="24"/>
          <w:szCs w:val="24"/>
        </w:rPr>
        <w:t>Acecort</w:t>
      </w:r>
      <w:proofErr w:type="spellEnd"/>
      <w:r>
        <w:rPr>
          <w:rFonts w:ascii="Calibri" w:eastAsia="Calibri" w:hAnsi="Calibri" w:cs="Calibri"/>
          <w:sz w:val="24"/>
          <w:szCs w:val="24"/>
        </w:rPr>
        <w:t xml:space="preserve">®, corroborate the complexities surrounding regulatory pathways and market availability for these newer treatments </w:t>
      </w:r>
      <w:r>
        <w:rPr>
          <w:rFonts w:ascii="Calibri" w:eastAsia="Calibri" w:hAnsi="Calibri" w:cs="Calibri"/>
          <w:sz w:val="24"/>
          <w:szCs w:val="24"/>
          <w:vertAlign w:val="superscript"/>
        </w:rPr>
        <w:t>26</w:t>
      </w:r>
      <w:r>
        <w:rPr>
          <w:rFonts w:ascii="Calibri" w:eastAsia="Calibri" w:hAnsi="Calibri" w:cs="Calibri"/>
          <w:sz w:val="24"/>
          <w:szCs w:val="24"/>
        </w:rPr>
        <w:t xml:space="preserve">. Furthermore, Lundgren's broader analysis of barriers to implementing modern therapies for rare endocrine disorders echoes the significant impact of regulatory challenges in this field </w:t>
      </w:r>
      <w:r>
        <w:rPr>
          <w:rFonts w:ascii="Calibri" w:eastAsia="Calibri" w:hAnsi="Calibri" w:cs="Calibri"/>
          <w:sz w:val="24"/>
          <w:szCs w:val="24"/>
          <w:vertAlign w:val="superscript"/>
        </w:rPr>
        <w:t>27</w:t>
      </w:r>
      <w:r>
        <w:rPr>
          <w:rFonts w:ascii="Calibri" w:eastAsia="Calibri" w:hAnsi="Calibri" w:cs="Calibri"/>
          <w:sz w:val="24"/>
          <w:szCs w:val="24"/>
        </w:rPr>
        <w:t xml:space="preserve">. Cost represents another substantial impediment, frequently reported across diverse economic settings. Notably, expense was a concern not only in low-resource countries but also in high- and upper-middle-income nations. This indicates that price sensitivity is not simply a reflection of a country's economic classification. Instead, it likely reflects variations in national health policies, medication pricing agreements, and reimbursement frameworks, a point further elaborated by Zhao et al.'s work on the economic considerations influencing access to therapies for rare diseases </w:t>
      </w:r>
      <w:r>
        <w:rPr>
          <w:rFonts w:ascii="Calibri" w:eastAsia="Calibri" w:hAnsi="Calibri" w:cs="Calibri"/>
          <w:sz w:val="24"/>
          <w:szCs w:val="24"/>
          <w:vertAlign w:val="superscript"/>
        </w:rPr>
        <w:t>28</w:t>
      </w:r>
      <w:r>
        <w:rPr>
          <w:rFonts w:ascii="Calibri" w:eastAsia="Calibri" w:hAnsi="Calibri" w:cs="Calibri"/>
          <w:sz w:val="24"/>
          <w:szCs w:val="24"/>
        </w:rPr>
        <w:t>. These barriers subsequently result in unequal possibilities for patients.</w:t>
      </w:r>
    </w:p>
    <w:p w14:paraId="384B8092"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lastRenderedPageBreak/>
        <w:t>Other reported barriers included logistical challenges in medication supply chains, limited clinician awareness, and a lack of prescribing confidence. These are common when introducing new formulations and reflect the importance of ongoing education.</w:t>
      </w:r>
    </w:p>
    <w:p w14:paraId="4390375B" w14:textId="77777777"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The total number of centres responding to the qualitative survey was 39, of which 27 were in high-income countries, 11 in middle-income countries, and one in a low-income country. Socioeconomic status likely influenced access and uptake to some degree, but the inconsistent relationship between income level and barriers such as cost suggests a complex interaction of healthcare funding models, policy frameworks, and market strategy. Pharmaceutical companies may have prioritised markets with favourable reimbursement pathways and greater commercial return, which could help explain early uptake in some high-income centres.</w:t>
      </w:r>
    </w:p>
    <w:p w14:paraId="0EA8817E" w14:textId="6FB75E1B" w:rsidR="0012549D" w:rsidRDefault="00000000">
      <w:pPr>
        <w:spacing w:before="240" w:after="240" w:line="480" w:lineRule="auto"/>
        <w:rPr>
          <w:rFonts w:ascii="Calibri" w:eastAsia="Calibri" w:hAnsi="Calibri" w:cs="Calibri"/>
          <w:sz w:val="24"/>
          <w:szCs w:val="24"/>
        </w:rPr>
      </w:pPr>
      <w:r>
        <w:rPr>
          <w:rFonts w:ascii="Calibri" w:eastAsia="Calibri" w:hAnsi="Calibri" w:cs="Calibri"/>
          <w:sz w:val="24"/>
          <w:szCs w:val="24"/>
        </w:rPr>
        <w:t>This study has several strengths, including its international scale, integration of quantitative registry data with qualitative centre-level perspectives, and the focus on temporal trends. Nonetheless, limitations must be acknowledged. A key issue was incomplete data from some sites, which may have led to underreporting of modern GC use. Furthermore, the survey did not capture every country or CAH centre globally, and the participating centres may not be fully representative of all clinical settings, introducing potential selection bias.</w:t>
      </w:r>
      <w:r w:rsidR="00967E88">
        <w:rPr>
          <w:rFonts w:ascii="Calibri" w:eastAsia="Calibri" w:hAnsi="Calibri" w:cs="Calibri"/>
          <w:sz w:val="24"/>
          <w:szCs w:val="24"/>
        </w:rPr>
        <w:t xml:space="preserve"> Data on registry participants gender was not available, so we were unable to report height and weight SDS values.</w:t>
      </w:r>
      <w:r>
        <w:rPr>
          <w:rFonts w:ascii="Calibri" w:eastAsia="Calibri" w:hAnsi="Calibri" w:cs="Calibri"/>
          <w:sz w:val="24"/>
          <w:szCs w:val="24"/>
        </w:rPr>
        <w:t xml:space="preserve"> In addition, while this study focused on access and prescribing trends, it did not assess </w:t>
      </w:r>
      <w:r w:rsidR="00967E88">
        <w:rPr>
          <w:rFonts w:ascii="Calibri" w:eastAsia="Calibri" w:hAnsi="Calibri" w:cs="Calibri"/>
          <w:sz w:val="24"/>
          <w:szCs w:val="24"/>
        </w:rPr>
        <w:t xml:space="preserve">the patient profile of those patients for whom a medication switch was considered, </w:t>
      </w:r>
      <w:r>
        <w:rPr>
          <w:rFonts w:ascii="Calibri" w:eastAsia="Calibri" w:hAnsi="Calibri" w:cs="Calibri"/>
          <w:sz w:val="24"/>
          <w:szCs w:val="24"/>
        </w:rPr>
        <w:t>treatment outcomes</w:t>
      </w:r>
      <w:r w:rsidR="00967E88">
        <w:rPr>
          <w:rFonts w:ascii="Calibri" w:eastAsia="Calibri" w:hAnsi="Calibri" w:cs="Calibri"/>
          <w:sz w:val="24"/>
          <w:szCs w:val="24"/>
        </w:rPr>
        <w:t xml:space="preserve"> such as mean hydrocortisone-equivalent dose before and after transition to the new formulation </w:t>
      </w:r>
      <w:r>
        <w:rPr>
          <w:rFonts w:ascii="Calibri" w:eastAsia="Calibri" w:hAnsi="Calibri" w:cs="Calibri"/>
          <w:sz w:val="24"/>
          <w:szCs w:val="24"/>
        </w:rPr>
        <w:t>limiting conclusions about clinical effectiveness and patient benefit.</w:t>
      </w:r>
    </w:p>
    <w:p w14:paraId="4E6E7077" w14:textId="0FA1E5B5" w:rsidR="0012549D" w:rsidRDefault="00000000" w:rsidP="004E0E2D">
      <w:pPr>
        <w:spacing w:before="240" w:after="240" w:line="480" w:lineRule="auto"/>
        <w:rPr>
          <w:rFonts w:ascii="Calibri" w:eastAsia="Calibri" w:hAnsi="Calibri" w:cs="Calibri"/>
        </w:rPr>
      </w:pPr>
      <w:r>
        <w:rPr>
          <w:rFonts w:ascii="Calibri" w:eastAsia="Calibri" w:hAnsi="Calibri" w:cs="Calibri"/>
          <w:sz w:val="24"/>
          <w:szCs w:val="24"/>
        </w:rPr>
        <w:lastRenderedPageBreak/>
        <w:t>Looking forward, ongoing research is needed to address the remaining clinical uncertainties regarding modified-release GC and their long-term impact on metabolic control, growth, fertility, and quality of life. Education and training sessions for prescribers may help increase awareness and confidence in newer medications. Furthermore, as more of these therapies receive approval, repeat analyses of prescribing trends will be important to assess whether existing barriers are reduced over time.</w:t>
      </w:r>
    </w:p>
    <w:p w14:paraId="7DDD5D1E" w14:textId="77777777" w:rsidR="0012549D" w:rsidRDefault="00000000">
      <w:pPr>
        <w:spacing w:line="480" w:lineRule="auto"/>
        <w:jc w:val="both"/>
        <w:rPr>
          <w:rFonts w:ascii="Calibri" w:eastAsia="Calibri" w:hAnsi="Calibri" w:cs="Calibri"/>
          <w:b/>
          <w:sz w:val="28"/>
          <w:szCs w:val="28"/>
        </w:rPr>
      </w:pPr>
      <w:r>
        <w:rPr>
          <w:rFonts w:ascii="Calibri" w:eastAsia="Calibri" w:hAnsi="Calibri" w:cs="Calibri"/>
          <w:b/>
          <w:sz w:val="28"/>
          <w:szCs w:val="28"/>
        </w:rPr>
        <w:t>CONCLUSION</w:t>
      </w:r>
    </w:p>
    <w:p w14:paraId="304A4A93" w14:textId="77777777"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This international study highlights the evolving landscape of GC prescribing for CAH, with a gradual but uneven uptake of modern GC formulations such as </w:t>
      </w:r>
      <w:proofErr w:type="spellStart"/>
      <w:r>
        <w:rPr>
          <w:rFonts w:ascii="Calibri" w:eastAsia="Calibri" w:hAnsi="Calibri" w:cs="Calibri"/>
          <w:sz w:val="24"/>
          <w:szCs w:val="24"/>
        </w:rPr>
        <w:t>Alkindi</w:t>
      </w:r>
      <w:proofErr w:type="spellEnd"/>
      <w:r>
        <w:rPr>
          <w:rFonts w:ascii="Calibri" w:eastAsia="Calibri" w:hAnsi="Calibri" w:cs="Calibri"/>
          <w:sz w:val="24"/>
          <w:szCs w:val="24"/>
        </w:rPr>
        <w:t xml:space="preserve">® and </w:t>
      </w:r>
      <w:proofErr w:type="spellStart"/>
      <w:r>
        <w:rPr>
          <w:rFonts w:ascii="Calibri" w:eastAsia="Calibri" w:hAnsi="Calibri" w:cs="Calibri"/>
          <w:sz w:val="24"/>
          <w:szCs w:val="24"/>
        </w:rPr>
        <w:t>Efmody</w:t>
      </w:r>
      <w:proofErr w:type="spellEnd"/>
      <w:r>
        <w:rPr>
          <w:rFonts w:ascii="Calibri" w:eastAsia="Calibri" w:hAnsi="Calibri" w:cs="Calibri"/>
          <w:sz w:val="24"/>
          <w:szCs w:val="24"/>
        </w:rPr>
        <w:t>® between 2017 and 2023. Despite the increasing availability of these medications—particularly following European regulatory approvals—adoption remains limited, affecting only 5% of patients in this cohort. Marked inter-country variation was observed, even among high-income settings, suggesting that factors beyond economic classification—such as regulatory approval status, health policy frameworks, and clinician familiarity—play a significant role in access and prescribing behaviour. Barriers, including cost, limited awareness, and supply chain constraints, were frequently reported, underscoring ongoing inequities in CAH care delivery.</w:t>
      </w:r>
    </w:p>
    <w:p w14:paraId="1BDC01AF" w14:textId="68A23562" w:rsidR="0012549D" w:rsidRDefault="00000000">
      <w:pPr>
        <w:spacing w:before="240" w:after="240" w:line="480" w:lineRule="auto"/>
        <w:jc w:val="both"/>
        <w:rPr>
          <w:rFonts w:ascii="Calibri" w:eastAsia="Calibri" w:hAnsi="Calibri" w:cs="Calibri"/>
          <w:sz w:val="24"/>
          <w:szCs w:val="24"/>
        </w:rPr>
      </w:pPr>
      <w:r>
        <w:rPr>
          <w:rFonts w:ascii="Calibri" w:eastAsia="Calibri" w:hAnsi="Calibri" w:cs="Calibri"/>
          <w:sz w:val="24"/>
          <w:szCs w:val="24"/>
        </w:rPr>
        <w:t xml:space="preserve">The findings reinforce the urgent need for harmonised clinical guidance, increased education on modern </w:t>
      </w:r>
      <w:r w:rsidR="00280BFE">
        <w:rPr>
          <w:rFonts w:ascii="Calibri" w:eastAsia="Calibri" w:hAnsi="Calibri" w:cs="Calibri"/>
          <w:sz w:val="24"/>
          <w:szCs w:val="24"/>
        </w:rPr>
        <w:t>GC</w:t>
      </w:r>
      <w:r>
        <w:rPr>
          <w:rFonts w:ascii="Calibri" w:eastAsia="Calibri" w:hAnsi="Calibri" w:cs="Calibri"/>
          <w:sz w:val="24"/>
          <w:szCs w:val="24"/>
        </w:rPr>
        <w:t xml:space="preserve"> options, and policy efforts to address structural barriers to medication access. Future research should focus on long-term outcomes associated with newer formulations and on strategies to support equitable implementation across diverse healthcare settings.</w:t>
      </w:r>
      <w:r>
        <w:br w:type="page"/>
      </w:r>
    </w:p>
    <w:p w14:paraId="62394ACC" w14:textId="77777777" w:rsidR="0012549D" w:rsidRDefault="00000000">
      <w:pPr>
        <w:spacing w:before="240" w:after="240" w:line="480" w:lineRule="auto"/>
        <w:jc w:val="both"/>
        <w:rPr>
          <w:rFonts w:ascii="Calibri" w:eastAsia="Calibri" w:hAnsi="Calibri" w:cs="Calibri"/>
          <w:b/>
          <w:sz w:val="28"/>
          <w:szCs w:val="28"/>
        </w:rPr>
      </w:pPr>
      <w:r>
        <w:rPr>
          <w:rFonts w:ascii="Calibri" w:eastAsia="Calibri" w:hAnsi="Calibri" w:cs="Calibri"/>
          <w:b/>
          <w:sz w:val="28"/>
          <w:szCs w:val="28"/>
        </w:rPr>
        <w:lastRenderedPageBreak/>
        <w:t>References</w:t>
      </w:r>
    </w:p>
    <w:p w14:paraId="4AF7651A"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 xml:space="preserve">1. </w:t>
      </w:r>
      <w:r>
        <w:rPr>
          <w:rFonts w:ascii="Calibri" w:eastAsia="Calibri" w:hAnsi="Calibri" w:cs="Calibri"/>
        </w:rPr>
        <w:tab/>
        <w:t xml:space="preserve">Speiser PW, Azziz R, Baskin LS, et al. Congenital Adrenal Hyperplasia Due to Steroid 21-Hydroxylase Deficiency: An Endocrine Society Clinical Practice Guideline.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2010;95(9):4133-4160. doi:10.1210/jc.2009-2631</w:t>
      </w:r>
    </w:p>
    <w:p w14:paraId="0FEE6CFE"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w:t>
      </w:r>
      <w:r>
        <w:rPr>
          <w:rFonts w:ascii="Calibri" w:eastAsia="Calibri" w:hAnsi="Calibri" w:cs="Calibri"/>
        </w:rPr>
        <w:tab/>
      </w:r>
      <w:proofErr w:type="spellStart"/>
      <w:r>
        <w:rPr>
          <w:rFonts w:ascii="Calibri" w:eastAsia="Calibri" w:hAnsi="Calibri" w:cs="Calibri"/>
        </w:rPr>
        <w:t>Witchel</w:t>
      </w:r>
      <w:proofErr w:type="spellEnd"/>
      <w:r>
        <w:rPr>
          <w:rFonts w:ascii="Calibri" w:eastAsia="Calibri" w:hAnsi="Calibri" w:cs="Calibri"/>
        </w:rPr>
        <w:t xml:space="preserve"> SF. Congenital Adrenal Hyperplasia. </w:t>
      </w:r>
      <w:r>
        <w:rPr>
          <w:rFonts w:ascii="Calibri" w:eastAsia="Calibri" w:hAnsi="Calibri" w:cs="Calibri"/>
          <w:i/>
        </w:rPr>
        <w:t xml:space="preserve">J </w:t>
      </w:r>
      <w:proofErr w:type="spellStart"/>
      <w:r>
        <w:rPr>
          <w:rFonts w:ascii="Calibri" w:eastAsia="Calibri" w:hAnsi="Calibri" w:cs="Calibri"/>
          <w:i/>
        </w:rPr>
        <w:t>Pediatr</w:t>
      </w:r>
      <w:proofErr w:type="spellEnd"/>
      <w:r>
        <w:rPr>
          <w:rFonts w:ascii="Calibri" w:eastAsia="Calibri" w:hAnsi="Calibri" w:cs="Calibri"/>
          <w:i/>
        </w:rPr>
        <w:t xml:space="preserve"> </w:t>
      </w:r>
      <w:proofErr w:type="spellStart"/>
      <w:r>
        <w:rPr>
          <w:rFonts w:ascii="Calibri" w:eastAsia="Calibri" w:hAnsi="Calibri" w:cs="Calibri"/>
          <w:i/>
        </w:rPr>
        <w:t>Adolesc</w:t>
      </w:r>
      <w:proofErr w:type="spellEnd"/>
      <w:r>
        <w:rPr>
          <w:rFonts w:ascii="Calibri" w:eastAsia="Calibri" w:hAnsi="Calibri" w:cs="Calibri"/>
          <w:i/>
        </w:rPr>
        <w:t xml:space="preserve"> Gynecol</w:t>
      </w:r>
      <w:r>
        <w:rPr>
          <w:rFonts w:ascii="Calibri" w:eastAsia="Calibri" w:hAnsi="Calibri" w:cs="Calibri"/>
        </w:rPr>
        <w:t xml:space="preserve">. 2017;30(5):520-534. </w:t>
      </w:r>
      <w:proofErr w:type="gramStart"/>
      <w:r>
        <w:rPr>
          <w:rFonts w:ascii="Calibri" w:eastAsia="Calibri" w:hAnsi="Calibri" w:cs="Calibri"/>
        </w:rPr>
        <w:t>doi:10.1016/j.jpag</w:t>
      </w:r>
      <w:proofErr w:type="gramEnd"/>
      <w:r>
        <w:rPr>
          <w:rFonts w:ascii="Calibri" w:eastAsia="Calibri" w:hAnsi="Calibri" w:cs="Calibri"/>
        </w:rPr>
        <w:t>.2017.04.001</w:t>
      </w:r>
    </w:p>
    <w:p w14:paraId="48D7F7E2"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3.</w:t>
      </w:r>
      <w:r>
        <w:rPr>
          <w:rFonts w:ascii="Calibri" w:eastAsia="Calibri" w:hAnsi="Calibri" w:cs="Calibri"/>
        </w:rPr>
        <w:tab/>
      </w:r>
      <w:proofErr w:type="spellStart"/>
      <w:r>
        <w:rPr>
          <w:rFonts w:ascii="Calibri" w:eastAsia="Calibri" w:hAnsi="Calibri" w:cs="Calibri"/>
        </w:rPr>
        <w:t>Claahsen</w:t>
      </w:r>
      <w:proofErr w:type="spellEnd"/>
      <w:r>
        <w:rPr>
          <w:rFonts w:ascii="Calibri" w:eastAsia="Calibri" w:hAnsi="Calibri" w:cs="Calibri"/>
        </w:rPr>
        <w:t xml:space="preserve"> - van der </w:t>
      </w:r>
      <w:proofErr w:type="spellStart"/>
      <w:r>
        <w:rPr>
          <w:rFonts w:ascii="Calibri" w:eastAsia="Calibri" w:hAnsi="Calibri" w:cs="Calibri"/>
        </w:rPr>
        <w:t>Grinten</w:t>
      </w:r>
      <w:proofErr w:type="spellEnd"/>
      <w:r>
        <w:rPr>
          <w:rFonts w:ascii="Calibri" w:eastAsia="Calibri" w:hAnsi="Calibri" w:cs="Calibri"/>
        </w:rPr>
        <w:t xml:space="preserve"> HL, Speiser PW, Ahmed SF, et al. Congenital Adrenal Hyperplasia—Current Insights in Pathophysiology, Diagnostics, and Management. </w:t>
      </w:r>
      <w:proofErr w:type="spellStart"/>
      <w:r>
        <w:rPr>
          <w:rFonts w:ascii="Calibri" w:eastAsia="Calibri" w:hAnsi="Calibri" w:cs="Calibri"/>
          <w:i/>
        </w:rPr>
        <w:t>Endocr</w:t>
      </w:r>
      <w:proofErr w:type="spellEnd"/>
      <w:r>
        <w:rPr>
          <w:rFonts w:ascii="Calibri" w:eastAsia="Calibri" w:hAnsi="Calibri" w:cs="Calibri"/>
          <w:i/>
        </w:rPr>
        <w:t xml:space="preserve"> Rev</w:t>
      </w:r>
      <w:r>
        <w:rPr>
          <w:rFonts w:ascii="Calibri" w:eastAsia="Calibri" w:hAnsi="Calibri" w:cs="Calibri"/>
        </w:rPr>
        <w:t>. 2022;43(1):91-159. doi:10.1210/</w:t>
      </w:r>
      <w:proofErr w:type="spellStart"/>
      <w:r>
        <w:rPr>
          <w:rFonts w:ascii="Calibri" w:eastAsia="Calibri" w:hAnsi="Calibri" w:cs="Calibri"/>
        </w:rPr>
        <w:t>endrev</w:t>
      </w:r>
      <w:proofErr w:type="spellEnd"/>
      <w:r>
        <w:rPr>
          <w:rFonts w:ascii="Calibri" w:eastAsia="Calibri" w:hAnsi="Calibri" w:cs="Calibri"/>
        </w:rPr>
        <w:t>/bnab016</w:t>
      </w:r>
    </w:p>
    <w:p w14:paraId="204D6801"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4.</w:t>
      </w:r>
      <w:r>
        <w:rPr>
          <w:rFonts w:ascii="Calibri" w:eastAsia="Calibri" w:hAnsi="Calibri" w:cs="Calibri"/>
        </w:rPr>
        <w:tab/>
      </w:r>
      <w:proofErr w:type="spellStart"/>
      <w:r>
        <w:rPr>
          <w:rFonts w:ascii="Calibri" w:eastAsia="Calibri" w:hAnsi="Calibri" w:cs="Calibri"/>
        </w:rPr>
        <w:t>Mallappa</w:t>
      </w:r>
      <w:proofErr w:type="spellEnd"/>
      <w:r>
        <w:rPr>
          <w:rFonts w:ascii="Calibri" w:eastAsia="Calibri" w:hAnsi="Calibri" w:cs="Calibri"/>
        </w:rPr>
        <w:t xml:space="preserve"> A, </w:t>
      </w:r>
      <w:proofErr w:type="spellStart"/>
      <w:r>
        <w:rPr>
          <w:rFonts w:ascii="Calibri" w:eastAsia="Calibri" w:hAnsi="Calibri" w:cs="Calibri"/>
        </w:rPr>
        <w:t>Sinaii</w:t>
      </w:r>
      <w:proofErr w:type="spellEnd"/>
      <w:r>
        <w:rPr>
          <w:rFonts w:ascii="Calibri" w:eastAsia="Calibri" w:hAnsi="Calibri" w:cs="Calibri"/>
        </w:rPr>
        <w:t xml:space="preserve"> N, Kumar P, et al. A Phase 2 Study of </w:t>
      </w:r>
      <w:proofErr w:type="spellStart"/>
      <w:r>
        <w:rPr>
          <w:rFonts w:ascii="Calibri" w:eastAsia="Calibri" w:hAnsi="Calibri" w:cs="Calibri"/>
        </w:rPr>
        <w:t>Chronocort</w:t>
      </w:r>
      <w:proofErr w:type="spellEnd"/>
      <w:r>
        <w:rPr>
          <w:rFonts w:ascii="Calibri" w:eastAsia="Calibri" w:hAnsi="Calibri" w:cs="Calibri"/>
        </w:rPr>
        <w:t xml:space="preserve">, a Modified-Release Formulation of Hydrocortisone, in the Treatment of Adults </w:t>
      </w:r>
      <w:proofErr w:type="gramStart"/>
      <w:r>
        <w:rPr>
          <w:rFonts w:ascii="Calibri" w:eastAsia="Calibri" w:hAnsi="Calibri" w:cs="Calibri"/>
        </w:rPr>
        <w:t>With</w:t>
      </w:r>
      <w:proofErr w:type="gramEnd"/>
      <w:r>
        <w:rPr>
          <w:rFonts w:ascii="Calibri" w:eastAsia="Calibri" w:hAnsi="Calibri" w:cs="Calibri"/>
        </w:rPr>
        <w:t xml:space="preserve"> Classic Congenital Adrenal Hyperplasia.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2015;100(3):1137-1145. doi:10.1210/jc.2014-3809</w:t>
      </w:r>
    </w:p>
    <w:p w14:paraId="549BAC1A" w14:textId="77777777" w:rsidR="0012549D" w:rsidRDefault="00000000">
      <w:pPr>
        <w:pBdr>
          <w:top w:val="nil"/>
          <w:left w:val="nil"/>
          <w:bottom w:val="nil"/>
          <w:right w:val="nil"/>
          <w:between w:val="nil"/>
        </w:pBdr>
        <w:tabs>
          <w:tab w:val="left" w:pos="380"/>
        </w:tabs>
        <w:spacing w:before="240" w:after="240" w:line="480" w:lineRule="auto"/>
        <w:ind w:left="640"/>
        <w:rPr>
          <w:rFonts w:ascii="Calibri" w:eastAsia="Calibri" w:hAnsi="Calibri" w:cs="Calibri"/>
        </w:rPr>
      </w:pPr>
      <w:r>
        <w:rPr>
          <w:rFonts w:ascii="Calibri" w:eastAsia="Calibri" w:hAnsi="Calibri" w:cs="Calibri"/>
        </w:rPr>
        <w:t>5.</w:t>
      </w:r>
      <w:r>
        <w:rPr>
          <w:rFonts w:ascii="Calibri" w:eastAsia="Calibri" w:hAnsi="Calibri" w:cs="Calibri"/>
        </w:rPr>
        <w:tab/>
      </w:r>
      <w:proofErr w:type="spellStart"/>
      <w:r>
        <w:rPr>
          <w:rFonts w:ascii="Calibri" w:eastAsia="Calibri" w:hAnsi="Calibri" w:cs="Calibri"/>
        </w:rPr>
        <w:t>Rivkees</w:t>
      </w:r>
      <w:proofErr w:type="spellEnd"/>
      <w:r>
        <w:rPr>
          <w:rFonts w:ascii="Calibri" w:eastAsia="Calibri" w:hAnsi="Calibri" w:cs="Calibri"/>
        </w:rPr>
        <w:t xml:space="preserve"> SA. Dexamethasone Therapy of Congenital Adrenal Hyperplasia and the Myth of the “Growth Toxic” Glucocorticoid. </w:t>
      </w:r>
      <w:r>
        <w:rPr>
          <w:rFonts w:ascii="Calibri" w:eastAsia="Calibri" w:hAnsi="Calibri" w:cs="Calibri"/>
          <w:i/>
        </w:rPr>
        <w:t xml:space="preserve">Int J </w:t>
      </w:r>
      <w:proofErr w:type="spellStart"/>
      <w:r>
        <w:rPr>
          <w:rFonts w:ascii="Calibri" w:eastAsia="Calibri" w:hAnsi="Calibri" w:cs="Calibri"/>
          <w:i/>
        </w:rPr>
        <w:t>Pediatr</w:t>
      </w:r>
      <w:proofErr w:type="spellEnd"/>
      <w:r>
        <w:rPr>
          <w:rFonts w:ascii="Calibri" w:eastAsia="Calibri" w:hAnsi="Calibri" w:cs="Calibri"/>
          <w:i/>
        </w:rPr>
        <w:t xml:space="preserve"> Endocrinol</w:t>
      </w:r>
      <w:r>
        <w:rPr>
          <w:rFonts w:ascii="Calibri" w:eastAsia="Calibri" w:hAnsi="Calibri" w:cs="Calibri"/>
        </w:rPr>
        <w:t xml:space="preserve">. </w:t>
      </w:r>
      <w:proofErr w:type="gramStart"/>
      <w:r>
        <w:rPr>
          <w:rFonts w:ascii="Calibri" w:eastAsia="Calibri" w:hAnsi="Calibri" w:cs="Calibri"/>
        </w:rPr>
        <w:t>2010;2010:1</w:t>
      </w:r>
      <w:proofErr w:type="gramEnd"/>
      <w:r>
        <w:rPr>
          <w:rFonts w:ascii="Calibri" w:eastAsia="Calibri" w:hAnsi="Calibri" w:cs="Calibri"/>
        </w:rPr>
        <w:t>-7. doi:10.1155/2010/569680</w:t>
      </w:r>
    </w:p>
    <w:p w14:paraId="7326550F" w14:textId="77777777" w:rsidR="0012549D" w:rsidRDefault="00000000">
      <w:pPr>
        <w:pBdr>
          <w:top w:val="nil"/>
          <w:left w:val="nil"/>
          <w:bottom w:val="nil"/>
          <w:right w:val="nil"/>
          <w:between w:val="nil"/>
        </w:pBdr>
        <w:tabs>
          <w:tab w:val="left" w:pos="380"/>
        </w:tabs>
        <w:spacing w:before="240" w:after="240" w:line="480" w:lineRule="auto"/>
        <w:ind w:left="640"/>
        <w:rPr>
          <w:rFonts w:ascii="Calibri" w:eastAsia="Calibri" w:hAnsi="Calibri" w:cs="Calibri"/>
        </w:rPr>
      </w:pPr>
      <w:r>
        <w:rPr>
          <w:rFonts w:ascii="Calibri" w:eastAsia="Calibri" w:hAnsi="Calibri" w:cs="Calibri"/>
        </w:rPr>
        <w:t>6.</w:t>
      </w:r>
      <w:r>
        <w:rPr>
          <w:rFonts w:ascii="Calibri" w:eastAsia="Calibri" w:hAnsi="Calibri" w:cs="Calibri"/>
        </w:rPr>
        <w:tab/>
        <w:t xml:space="preserve">Speiser PW. Invited Commentary: A Phase 2, </w:t>
      </w:r>
      <w:proofErr w:type="spellStart"/>
      <w:r>
        <w:rPr>
          <w:rFonts w:ascii="Calibri" w:eastAsia="Calibri" w:hAnsi="Calibri" w:cs="Calibri"/>
        </w:rPr>
        <w:t>Multicenter</w:t>
      </w:r>
      <w:proofErr w:type="spellEnd"/>
      <w:r>
        <w:rPr>
          <w:rFonts w:ascii="Calibri" w:eastAsia="Calibri" w:hAnsi="Calibri" w:cs="Calibri"/>
        </w:rPr>
        <w:t xml:space="preserve"> Study of </w:t>
      </w:r>
      <w:proofErr w:type="spellStart"/>
      <w:r>
        <w:rPr>
          <w:rFonts w:ascii="Calibri" w:eastAsia="Calibri" w:hAnsi="Calibri" w:cs="Calibri"/>
        </w:rPr>
        <w:t>Nevanimibe</w:t>
      </w:r>
      <w:proofErr w:type="spellEnd"/>
      <w:r>
        <w:rPr>
          <w:rFonts w:ascii="Calibri" w:eastAsia="Calibri" w:hAnsi="Calibri" w:cs="Calibri"/>
        </w:rPr>
        <w:t xml:space="preserve"> for the Treatment of Congenital Adrenal Hyperplasia.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2020;105(10</w:t>
      </w:r>
      <w:proofErr w:type="gramStart"/>
      <w:r>
        <w:rPr>
          <w:rFonts w:ascii="Calibri" w:eastAsia="Calibri" w:hAnsi="Calibri" w:cs="Calibri"/>
        </w:rPr>
        <w:t>):e</w:t>
      </w:r>
      <w:proofErr w:type="gramEnd"/>
      <w:r>
        <w:rPr>
          <w:rFonts w:ascii="Calibri" w:eastAsia="Calibri" w:hAnsi="Calibri" w:cs="Calibri"/>
        </w:rPr>
        <w:t>3818-e3819. doi:10.1210/</w:t>
      </w:r>
      <w:proofErr w:type="spellStart"/>
      <w:r>
        <w:rPr>
          <w:rFonts w:ascii="Calibri" w:eastAsia="Calibri" w:hAnsi="Calibri" w:cs="Calibri"/>
        </w:rPr>
        <w:t>clinem</w:t>
      </w:r>
      <w:proofErr w:type="spellEnd"/>
      <w:r>
        <w:rPr>
          <w:rFonts w:ascii="Calibri" w:eastAsia="Calibri" w:hAnsi="Calibri" w:cs="Calibri"/>
        </w:rPr>
        <w:t>/dgaa509</w:t>
      </w:r>
    </w:p>
    <w:p w14:paraId="209A04B5" w14:textId="77777777" w:rsidR="0012549D" w:rsidRDefault="00000000">
      <w:pPr>
        <w:pBdr>
          <w:top w:val="nil"/>
          <w:left w:val="nil"/>
          <w:bottom w:val="nil"/>
          <w:right w:val="nil"/>
          <w:between w:val="nil"/>
        </w:pBdr>
        <w:tabs>
          <w:tab w:val="left" w:pos="380"/>
        </w:tabs>
        <w:spacing w:before="240" w:after="240" w:line="480" w:lineRule="auto"/>
        <w:ind w:left="640"/>
        <w:rPr>
          <w:rFonts w:ascii="Calibri" w:eastAsia="Calibri" w:hAnsi="Calibri" w:cs="Calibri"/>
        </w:rPr>
      </w:pPr>
      <w:r>
        <w:rPr>
          <w:rFonts w:ascii="Calibri" w:eastAsia="Calibri" w:hAnsi="Calibri" w:cs="Calibri"/>
        </w:rPr>
        <w:t xml:space="preserve">7. </w:t>
      </w:r>
      <w:r>
        <w:rPr>
          <w:rFonts w:ascii="Calibri" w:eastAsia="Calibri" w:hAnsi="Calibri" w:cs="Calibri"/>
        </w:rPr>
        <w:tab/>
        <w:t xml:space="preserve">Wilkins L, Lewis RA, Klein R, et al. TREATMENT OF CONGENITAL ADRENAL HYPER-PLASIA WITH CORTISONE*.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1951;11(1):1-25. doi:10.1210/jcem-11-1-1</w:t>
      </w:r>
    </w:p>
    <w:p w14:paraId="4FB34894"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lastRenderedPageBreak/>
        <w:t>8.</w:t>
      </w:r>
      <w:r>
        <w:rPr>
          <w:rFonts w:ascii="Calibri" w:eastAsia="Calibri" w:hAnsi="Calibri" w:cs="Calibri"/>
        </w:rPr>
        <w:tab/>
      </w:r>
      <w:proofErr w:type="spellStart"/>
      <w:r>
        <w:rPr>
          <w:rFonts w:ascii="Calibri" w:eastAsia="Calibri" w:hAnsi="Calibri" w:cs="Calibri"/>
        </w:rPr>
        <w:t>Bacila</w:t>
      </w:r>
      <w:proofErr w:type="spellEnd"/>
      <w:r>
        <w:rPr>
          <w:rFonts w:ascii="Calibri" w:eastAsia="Calibri" w:hAnsi="Calibri" w:cs="Calibri"/>
        </w:rPr>
        <w:t xml:space="preserve"> I, Freeman N, Daniel E, et al. </w:t>
      </w:r>
      <w:proofErr w:type="gramStart"/>
      <w:r>
        <w:rPr>
          <w:rFonts w:ascii="Calibri" w:eastAsia="Calibri" w:hAnsi="Calibri" w:cs="Calibri"/>
        </w:rPr>
        <w:t>International</w:t>
      </w:r>
      <w:proofErr w:type="gramEnd"/>
      <w:r>
        <w:rPr>
          <w:rFonts w:ascii="Calibri" w:eastAsia="Calibri" w:hAnsi="Calibri" w:cs="Calibri"/>
        </w:rPr>
        <w:t xml:space="preserve"> practice of corticosteroid replacement therapy in congenital adrenal hyperplasia: data from the I-CAH registry. </w:t>
      </w:r>
      <w:proofErr w:type="spellStart"/>
      <w:r>
        <w:rPr>
          <w:rFonts w:ascii="Calibri" w:eastAsia="Calibri" w:hAnsi="Calibri" w:cs="Calibri"/>
          <w:i/>
        </w:rPr>
        <w:t>Eur</w:t>
      </w:r>
      <w:proofErr w:type="spellEnd"/>
      <w:r>
        <w:rPr>
          <w:rFonts w:ascii="Calibri" w:eastAsia="Calibri" w:hAnsi="Calibri" w:cs="Calibri"/>
          <w:i/>
        </w:rPr>
        <w:t xml:space="preserve"> J Endocrinol</w:t>
      </w:r>
      <w:r>
        <w:rPr>
          <w:rFonts w:ascii="Calibri" w:eastAsia="Calibri" w:hAnsi="Calibri" w:cs="Calibri"/>
        </w:rPr>
        <w:t>. 2021;184(4):553-563. doi:10.1530/EJE-20-1249</w:t>
      </w:r>
    </w:p>
    <w:p w14:paraId="2BF431C7"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9.</w:t>
      </w:r>
      <w:r>
        <w:rPr>
          <w:rFonts w:ascii="Calibri" w:eastAsia="Calibri" w:hAnsi="Calibri" w:cs="Calibri"/>
        </w:rPr>
        <w:tab/>
        <w:t xml:space="preserve">Ng SM, Stepien KM, Krishan A. Glucocorticoid replacement regimens for treating congenital adrenal hyperplasia. </w:t>
      </w:r>
      <w:r>
        <w:rPr>
          <w:rFonts w:ascii="Calibri" w:eastAsia="Calibri" w:hAnsi="Calibri" w:cs="Calibri"/>
          <w:i/>
        </w:rPr>
        <w:t>Cochrane Database of Systematic Reviews</w:t>
      </w:r>
      <w:r>
        <w:rPr>
          <w:rFonts w:ascii="Calibri" w:eastAsia="Calibri" w:hAnsi="Calibri" w:cs="Calibri"/>
        </w:rPr>
        <w:t xml:space="preserve">. 2020;2020(3). </w:t>
      </w:r>
      <w:proofErr w:type="gramStart"/>
      <w:r>
        <w:rPr>
          <w:rFonts w:ascii="Calibri" w:eastAsia="Calibri" w:hAnsi="Calibri" w:cs="Calibri"/>
        </w:rPr>
        <w:t>doi:10.1002/14651858.CD012517.pub2</w:t>
      </w:r>
      <w:proofErr w:type="gramEnd"/>
    </w:p>
    <w:p w14:paraId="52267B3B"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10.</w:t>
      </w:r>
      <w:r>
        <w:rPr>
          <w:rFonts w:ascii="Calibri" w:eastAsia="Calibri" w:hAnsi="Calibri" w:cs="Calibri"/>
        </w:rPr>
        <w:tab/>
      </w:r>
      <w:proofErr w:type="spellStart"/>
      <w:r>
        <w:rPr>
          <w:rFonts w:ascii="Calibri" w:eastAsia="Calibri" w:hAnsi="Calibri" w:cs="Calibri"/>
        </w:rPr>
        <w:t>Finkielstain</w:t>
      </w:r>
      <w:proofErr w:type="spellEnd"/>
      <w:r>
        <w:rPr>
          <w:rFonts w:ascii="Calibri" w:eastAsia="Calibri" w:hAnsi="Calibri" w:cs="Calibri"/>
        </w:rPr>
        <w:t xml:space="preserve"> GP, Kim MS, </w:t>
      </w:r>
      <w:proofErr w:type="spellStart"/>
      <w:r>
        <w:rPr>
          <w:rFonts w:ascii="Calibri" w:eastAsia="Calibri" w:hAnsi="Calibri" w:cs="Calibri"/>
        </w:rPr>
        <w:t>Sinaii</w:t>
      </w:r>
      <w:proofErr w:type="spellEnd"/>
      <w:r>
        <w:rPr>
          <w:rFonts w:ascii="Calibri" w:eastAsia="Calibri" w:hAnsi="Calibri" w:cs="Calibri"/>
        </w:rPr>
        <w:t xml:space="preserve"> N, et al. Clinical Characteristics of a Cohort of 244 Patients with Congenital Adrenal Hyperplasia.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2012;97(12):4429-4438. doi:10.1210/jc.2012-2102</w:t>
      </w:r>
    </w:p>
    <w:p w14:paraId="29525B67"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11.</w:t>
      </w:r>
      <w:r>
        <w:rPr>
          <w:rFonts w:ascii="Calibri" w:eastAsia="Calibri" w:hAnsi="Calibri" w:cs="Calibri"/>
        </w:rPr>
        <w:tab/>
        <w:t xml:space="preserve">Arlt W, Willis DS, Wild SH, et al. Health Status of Adults with Congenital Adrenal Hyperplasia: A Cohort Study of 203 Patients.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2010;95(11):5110-5121. doi:10.1210/jc.2010-0917</w:t>
      </w:r>
    </w:p>
    <w:p w14:paraId="57895782"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12.</w:t>
      </w:r>
      <w:r>
        <w:rPr>
          <w:rFonts w:ascii="Calibri" w:eastAsia="Calibri" w:hAnsi="Calibri" w:cs="Calibri"/>
        </w:rPr>
        <w:tab/>
        <w:t xml:space="preserve">Schröder MAM, </w:t>
      </w:r>
      <w:proofErr w:type="spellStart"/>
      <w:r>
        <w:rPr>
          <w:rFonts w:ascii="Calibri" w:eastAsia="Calibri" w:hAnsi="Calibri" w:cs="Calibri"/>
        </w:rPr>
        <w:t>Claahsen</w:t>
      </w:r>
      <w:proofErr w:type="spellEnd"/>
      <w:r>
        <w:rPr>
          <w:rFonts w:ascii="Calibri" w:eastAsia="Calibri" w:hAnsi="Calibri" w:cs="Calibri"/>
        </w:rPr>
        <w:t xml:space="preserve"> - van der </w:t>
      </w:r>
      <w:proofErr w:type="spellStart"/>
      <w:r>
        <w:rPr>
          <w:rFonts w:ascii="Calibri" w:eastAsia="Calibri" w:hAnsi="Calibri" w:cs="Calibri"/>
        </w:rPr>
        <w:t>Grinten</w:t>
      </w:r>
      <w:proofErr w:type="spellEnd"/>
      <w:r>
        <w:rPr>
          <w:rFonts w:ascii="Calibri" w:eastAsia="Calibri" w:hAnsi="Calibri" w:cs="Calibri"/>
        </w:rPr>
        <w:t xml:space="preserve"> HL. Modern treatments for congenital adrenal hyperplasia. </w:t>
      </w:r>
      <w:r>
        <w:rPr>
          <w:rFonts w:ascii="Calibri" w:eastAsia="Calibri" w:hAnsi="Calibri" w:cs="Calibri"/>
          <w:i/>
        </w:rPr>
        <w:t xml:space="preserve">Rev </w:t>
      </w:r>
      <w:proofErr w:type="spellStart"/>
      <w:r>
        <w:rPr>
          <w:rFonts w:ascii="Calibri" w:eastAsia="Calibri" w:hAnsi="Calibri" w:cs="Calibri"/>
          <w:i/>
        </w:rPr>
        <w:t>Endocr</w:t>
      </w:r>
      <w:proofErr w:type="spellEnd"/>
      <w:r>
        <w:rPr>
          <w:rFonts w:ascii="Calibri" w:eastAsia="Calibri" w:hAnsi="Calibri" w:cs="Calibri"/>
          <w:i/>
        </w:rPr>
        <w:t xml:space="preserve"> </w:t>
      </w:r>
      <w:proofErr w:type="spellStart"/>
      <w:r>
        <w:rPr>
          <w:rFonts w:ascii="Calibri" w:eastAsia="Calibri" w:hAnsi="Calibri" w:cs="Calibri"/>
          <w:i/>
        </w:rPr>
        <w:t>Metab</w:t>
      </w:r>
      <w:proofErr w:type="spellEnd"/>
      <w:r>
        <w:rPr>
          <w:rFonts w:ascii="Calibri" w:eastAsia="Calibri" w:hAnsi="Calibri" w:cs="Calibri"/>
          <w:i/>
        </w:rPr>
        <w:t xml:space="preserve"> </w:t>
      </w:r>
      <w:proofErr w:type="spellStart"/>
      <w:r>
        <w:rPr>
          <w:rFonts w:ascii="Calibri" w:eastAsia="Calibri" w:hAnsi="Calibri" w:cs="Calibri"/>
          <w:i/>
        </w:rPr>
        <w:t>Disord</w:t>
      </w:r>
      <w:proofErr w:type="spellEnd"/>
      <w:r>
        <w:rPr>
          <w:rFonts w:ascii="Calibri" w:eastAsia="Calibri" w:hAnsi="Calibri" w:cs="Calibri"/>
        </w:rPr>
        <w:t>. 2022;23(3):631-645. doi:10.1007/s11154-022-09717-w</w:t>
      </w:r>
    </w:p>
    <w:p w14:paraId="4AEEEEF1"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13.</w:t>
      </w:r>
      <w:r>
        <w:rPr>
          <w:rFonts w:ascii="Calibri" w:eastAsia="Calibri" w:hAnsi="Calibri" w:cs="Calibri"/>
        </w:rPr>
        <w:tab/>
      </w:r>
      <w:proofErr w:type="spellStart"/>
      <w:r>
        <w:rPr>
          <w:rFonts w:ascii="Calibri" w:eastAsia="Calibri" w:hAnsi="Calibri" w:cs="Calibri"/>
        </w:rPr>
        <w:t>Falhammar</w:t>
      </w:r>
      <w:proofErr w:type="spellEnd"/>
      <w:r>
        <w:rPr>
          <w:rFonts w:ascii="Calibri" w:eastAsia="Calibri" w:hAnsi="Calibri" w:cs="Calibri"/>
        </w:rPr>
        <w:t xml:space="preserve"> H, </w:t>
      </w:r>
      <w:proofErr w:type="spellStart"/>
      <w:r>
        <w:rPr>
          <w:rFonts w:ascii="Calibri" w:eastAsia="Calibri" w:hAnsi="Calibri" w:cs="Calibri"/>
        </w:rPr>
        <w:t>Frisén</w:t>
      </w:r>
      <w:proofErr w:type="spellEnd"/>
      <w:r>
        <w:rPr>
          <w:rFonts w:ascii="Calibri" w:eastAsia="Calibri" w:hAnsi="Calibri" w:cs="Calibri"/>
        </w:rPr>
        <w:t xml:space="preserve"> L, Hirschberg AL, et al. Increased Cardiovascular and Metabolic Morbidity in Patients With 21-Hydroxylase Deficiency: A Swedish Population-Based National Cohort Study.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2015;100(9):3520-3528. doi:10.1210/JC.2015-2093</w:t>
      </w:r>
    </w:p>
    <w:p w14:paraId="4B516FCA"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14.</w:t>
      </w:r>
      <w:r>
        <w:rPr>
          <w:rFonts w:ascii="Calibri" w:eastAsia="Calibri" w:hAnsi="Calibri" w:cs="Calibri"/>
        </w:rPr>
        <w:tab/>
        <w:t xml:space="preserve">Whittle E, </w:t>
      </w:r>
      <w:proofErr w:type="spellStart"/>
      <w:r>
        <w:rPr>
          <w:rFonts w:ascii="Calibri" w:eastAsia="Calibri" w:hAnsi="Calibri" w:cs="Calibri"/>
        </w:rPr>
        <w:t>Falhammar</w:t>
      </w:r>
      <w:proofErr w:type="spellEnd"/>
      <w:r>
        <w:rPr>
          <w:rFonts w:ascii="Calibri" w:eastAsia="Calibri" w:hAnsi="Calibri" w:cs="Calibri"/>
        </w:rPr>
        <w:t xml:space="preserve"> H. Glucocorticoid Regimens in the Treatment of Congenital Adrenal Hyperplasia: A Systematic Review and Meta-Analysis. </w:t>
      </w:r>
      <w:r>
        <w:rPr>
          <w:rFonts w:ascii="Calibri" w:eastAsia="Calibri" w:hAnsi="Calibri" w:cs="Calibri"/>
          <w:i/>
        </w:rPr>
        <w:t xml:space="preserve">J </w:t>
      </w:r>
      <w:proofErr w:type="spellStart"/>
      <w:r>
        <w:rPr>
          <w:rFonts w:ascii="Calibri" w:eastAsia="Calibri" w:hAnsi="Calibri" w:cs="Calibri"/>
          <w:i/>
        </w:rPr>
        <w:t>Endocr</w:t>
      </w:r>
      <w:proofErr w:type="spellEnd"/>
      <w:r>
        <w:rPr>
          <w:rFonts w:ascii="Calibri" w:eastAsia="Calibri" w:hAnsi="Calibri" w:cs="Calibri"/>
          <w:i/>
        </w:rPr>
        <w:t xml:space="preserve"> Soc</w:t>
      </w:r>
      <w:r>
        <w:rPr>
          <w:rFonts w:ascii="Calibri" w:eastAsia="Calibri" w:hAnsi="Calibri" w:cs="Calibri"/>
        </w:rPr>
        <w:t>. 2019;3(6):1227-1245. doi:10.1210/js.2019-00136</w:t>
      </w:r>
    </w:p>
    <w:p w14:paraId="0E3A62DD"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lastRenderedPageBreak/>
        <w:t>15.</w:t>
      </w:r>
      <w:r>
        <w:rPr>
          <w:rFonts w:ascii="Calibri" w:eastAsia="Calibri" w:hAnsi="Calibri" w:cs="Calibri"/>
        </w:rPr>
        <w:tab/>
      </w:r>
      <w:proofErr w:type="spellStart"/>
      <w:r>
        <w:rPr>
          <w:rFonts w:ascii="Calibri" w:eastAsia="Calibri" w:hAnsi="Calibri" w:cs="Calibri"/>
        </w:rPr>
        <w:t>Tschaidse</w:t>
      </w:r>
      <w:proofErr w:type="spellEnd"/>
      <w:r>
        <w:rPr>
          <w:rFonts w:ascii="Calibri" w:eastAsia="Calibri" w:hAnsi="Calibri" w:cs="Calibri"/>
        </w:rPr>
        <w:t xml:space="preserve"> L, </w:t>
      </w:r>
      <w:proofErr w:type="spellStart"/>
      <w:r>
        <w:rPr>
          <w:rFonts w:ascii="Calibri" w:eastAsia="Calibri" w:hAnsi="Calibri" w:cs="Calibri"/>
        </w:rPr>
        <w:t>Quinkler</w:t>
      </w:r>
      <w:proofErr w:type="spellEnd"/>
      <w:r>
        <w:rPr>
          <w:rFonts w:ascii="Calibri" w:eastAsia="Calibri" w:hAnsi="Calibri" w:cs="Calibri"/>
        </w:rPr>
        <w:t xml:space="preserve"> M, </w:t>
      </w:r>
      <w:proofErr w:type="spellStart"/>
      <w:r>
        <w:rPr>
          <w:rFonts w:ascii="Calibri" w:eastAsia="Calibri" w:hAnsi="Calibri" w:cs="Calibri"/>
        </w:rPr>
        <w:t>Claahsen</w:t>
      </w:r>
      <w:proofErr w:type="spellEnd"/>
      <w:r>
        <w:rPr>
          <w:rFonts w:ascii="Calibri" w:eastAsia="Calibri" w:hAnsi="Calibri" w:cs="Calibri"/>
        </w:rPr>
        <w:t xml:space="preserve">-van der </w:t>
      </w:r>
      <w:proofErr w:type="spellStart"/>
      <w:r>
        <w:rPr>
          <w:rFonts w:ascii="Calibri" w:eastAsia="Calibri" w:hAnsi="Calibri" w:cs="Calibri"/>
        </w:rPr>
        <w:t>Grinten</w:t>
      </w:r>
      <w:proofErr w:type="spellEnd"/>
      <w:r>
        <w:rPr>
          <w:rFonts w:ascii="Calibri" w:eastAsia="Calibri" w:hAnsi="Calibri" w:cs="Calibri"/>
        </w:rPr>
        <w:t xml:space="preserve"> H, et al. Body Image and Quality of Life in Women with Congenital Adrenal Hyperplasia. </w:t>
      </w:r>
      <w:r>
        <w:rPr>
          <w:rFonts w:ascii="Calibri" w:eastAsia="Calibri" w:hAnsi="Calibri" w:cs="Calibri"/>
          <w:i/>
        </w:rPr>
        <w:t>J Clin Med</w:t>
      </w:r>
      <w:r>
        <w:rPr>
          <w:rFonts w:ascii="Calibri" w:eastAsia="Calibri" w:hAnsi="Calibri" w:cs="Calibri"/>
        </w:rPr>
        <w:t>. 2022;11(15):4506. doi:10.3390/jcm11154506</w:t>
      </w:r>
    </w:p>
    <w:p w14:paraId="70EF80E3"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16.</w:t>
      </w:r>
      <w:r>
        <w:rPr>
          <w:rFonts w:ascii="Calibri" w:eastAsia="Calibri" w:hAnsi="Calibri" w:cs="Calibri"/>
        </w:rPr>
        <w:tab/>
        <w:t xml:space="preserve">Şentürk Pilan B, </w:t>
      </w:r>
      <w:proofErr w:type="spellStart"/>
      <w:r>
        <w:rPr>
          <w:rFonts w:ascii="Calibri" w:eastAsia="Calibri" w:hAnsi="Calibri" w:cs="Calibri"/>
        </w:rPr>
        <w:t>Özbaran</w:t>
      </w:r>
      <w:proofErr w:type="spellEnd"/>
      <w:r>
        <w:rPr>
          <w:rFonts w:ascii="Calibri" w:eastAsia="Calibri" w:hAnsi="Calibri" w:cs="Calibri"/>
        </w:rPr>
        <w:t xml:space="preserve"> B, Çelik D, et al. Quality of Life and Psychological Well-being in Children and Adolescents with Disorders of Sex Development. </w:t>
      </w:r>
      <w:r>
        <w:rPr>
          <w:rFonts w:ascii="Calibri" w:eastAsia="Calibri" w:hAnsi="Calibri" w:cs="Calibri"/>
          <w:i/>
        </w:rPr>
        <w:t xml:space="preserve">J Clin Res </w:t>
      </w:r>
      <w:proofErr w:type="spellStart"/>
      <w:r>
        <w:rPr>
          <w:rFonts w:ascii="Calibri" w:eastAsia="Calibri" w:hAnsi="Calibri" w:cs="Calibri"/>
          <w:i/>
        </w:rPr>
        <w:t>Pediatr</w:t>
      </w:r>
      <w:proofErr w:type="spellEnd"/>
      <w:r>
        <w:rPr>
          <w:rFonts w:ascii="Calibri" w:eastAsia="Calibri" w:hAnsi="Calibri" w:cs="Calibri"/>
          <w:i/>
        </w:rPr>
        <w:t xml:space="preserve"> Endocrinol</w:t>
      </w:r>
      <w:r>
        <w:rPr>
          <w:rFonts w:ascii="Calibri" w:eastAsia="Calibri" w:hAnsi="Calibri" w:cs="Calibri"/>
        </w:rPr>
        <w:t xml:space="preserve">. 2021;13(1):23-33. </w:t>
      </w:r>
      <w:proofErr w:type="gramStart"/>
      <w:r>
        <w:rPr>
          <w:rFonts w:ascii="Calibri" w:eastAsia="Calibri" w:hAnsi="Calibri" w:cs="Calibri"/>
        </w:rPr>
        <w:t>doi:10.4274/jcrpe.galenos</w:t>
      </w:r>
      <w:proofErr w:type="gramEnd"/>
      <w:r>
        <w:rPr>
          <w:rFonts w:ascii="Calibri" w:eastAsia="Calibri" w:hAnsi="Calibri" w:cs="Calibri"/>
        </w:rPr>
        <w:t>.2020.2020.0141</w:t>
      </w:r>
    </w:p>
    <w:p w14:paraId="2F30850B"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17.</w:t>
      </w:r>
      <w:r>
        <w:rPr>
          <w:rFonts w:ascii="Calibri" w:eastAsia="Calibri" w:hAnsi="Calibri" w:cs="Calibri"/>
        </w:rPr>
        <w:tab/>
        <w:t xml:space="preserve">ACE Pharmaceuticals. </w:t>
      </w:r>
      <w:proofErr w:type="spellStart"/>
      <w:r>
        <w:rPr>
          <w:rFonts w:ascii="Calibri" w:eastAsia="Calibri" w:hAnsi="Calibri" w:cs="Calibri"/>
        </w:rPr>
        <w:t>ACEcort</w:t>
      </w:r>
      <w:proofErr w:type="spellEnd"/>
      <w:r>
        <w:rPr>
          <w:rFonts w:ascii="Calibri" w:eastAsia="Calibri" w:hAnsi="Calibri" w:cs="Calibri"/>
        </w:rPr>
        <w:t>. ACE-pharm.nl. Accessed May 7, 2025.</w:t>
      </w:r>
      <w:hyperlink r:id="rId19">
        <w:r w:rsidR="0012549D">
          <w:rPr>
            <w:rFonts w:ascii="Calibri" w:eastAsia="Calibri" w:hAnsi="Calibri" w:cs="Calibri"/>
          </w:rPr>
          <w:t xml:space="preserve"> </w:t>
        </w:r>
      </w:hyperlink>
      <w:hyperlink r:id="rId20">
        <w:r w:rsidR="0012549D">
          <w:rPr>
            <w:rFonts w:ascii="Calibri" w:eastAsia="Calibri" w:hAnsi="Calibri" w:cs="Calibri"/>
            <w:u w:val="single"/>
          </w:rPr>
          <w:t>https://www.ace-pharm.nl/en/products/acecort/</w:t>
        </w:r>
      </w:hyperlink>
    </w:p>
    <w:p w14:paraId="736CC525"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18.</w:t>
      </w:r>
      <w:r>
        <w:rPr>
          <w:rFonts w:ascii="Calibri" w:eastAsia="Calibri" w:hAnsi="Calibri" w:cs="Calibri"/>
        </w:rPr>
        <w:tab/>
        <w:t xml:space="preserve">Whitaker MJ, Spielmann S, Digweed D, et al. Development and Testing in Healthy Adults of Oral Hydrocortisone Granules </w:t>
      </w:r>
      <w:proofErr w:type="gramStart"/>
      <w:r>
        <w:rPr>
          <w:rFonts w:ascii="Calibri" w:eastAsia="Calibri" w:hAnsi="Calibri" w:cs="Calibri"/>
        </w:rPr>
        <w:t>With</w:t>
      </w:r>
      <w:proofErr w:type="gramEnd"/>
      <w:r>
        <w:rPr>
          <w:rFonts w:ascii="Calibri" w:eastAsia="Calibri" w:hAnsi="Calibri" w:cs="Calibri"/>
        </w:rPr>
        <w:t xml:space="preserve"> Taste Masking for the Treatment of Neonates and Infants </w:t>
      </w:r>
      <w:proofErr w:type="gramStart"/>
      <w:r>
        <w:rPr>
          <w:rFonts w:ascii="Calibri" w:eastAsia="Calibri" w:hAnsi="Calibri" w:cs="Calibri"/>
        </w:rPr>
        <w:t>With</w:t>
      </w:r>
      <w:proofErr w:type="gramEnd"/>
      <w:r>
        <w:rPr>
          <w:rFonts w:ascii="Calibri" w:eastAsia="Calibri" w:hAnsi="Calibri" w:cs="Calibri"/>
        </w:rPr>
        <w:t xml:space="preserve"> Adrenal Insufficiency.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2015;100(4):1681-1688. doi:10.1210/jc.2014-4060</w:t>
      </w:r>
    </w:p>
    <w:p w14:paraId="2ED40797" w14:textId="77777777" w:rsidR="0012549D" w:rsidRDefault="00000000">
      <w:pPr>
        <w:tabs>
          <w:tab w:val="left" w:pos="380"/>
        </w:tabs>
        <w:spacing w:before="240" w:after="240" w:line="480" w:lineRule="auto"/>
        <w:ind w:left="645"/>
        <w:rPr>
          <w:rFonts w:ascii="Calibri" w:eastAsia="Calibri" w:hAnsi="Calibri" w:cs="Calibri"/>
        </w:rPr>
      </w:pPr>
      <w:r>
        <w:rPr>
          <w:rFonts w:ascii="Calibri" w:eastAsia="Calibri" w:hAnsi="Calibri" w:cs="Calibri"/>
        </w:rPr>
        <w:t>19.</w:t>
      </w:r>
      <w:r>
        <w:rPr>
          <w:rFonts w:ascii="Calibri" w:eastAsia="Calibri" w:hAnsi="Calibri" w:cs="Calibri"/>
        </w:rPr>
        <w:tab/>
        <w:t xml:space="preserve">Neumann U, Braune K, Whitaker MJ, et al. A Prospective Study of Children Aged 0–8 Years with CAH and Adrenal Insufficiency Treated with Hydrocortisone Granules.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2021;106(3</w:t>
      </w:r>
      <w:proofErr w:type="gramStart"/>
      <w:r>
        <w:rPr>
          <w:rFonts w:ascii="Calibri" w:eastAsia="Calibri" w:hAnsi="Calibri" w:cs="Calibri"/>
        </w:rPr>
        <w:t>):e</w:t>
      </w:r>
      <w:proofErr w:type="gramEnd"/>
      <w:r>
        <w:rPr>
          <w:rFonts w:ascii="Calibri" w:eastAsia="Calibri" w:hAnsi="Calibri" w:cs="Calibri"/>
        </w:rPr>
        <w:t>1433-e1440. doi:10.1210/</w:t>
      </w:r>
      <w:proofErr w:type="spellStart"/>
      <w:r>
        <w:rPr>
          <w:rFonts w:ascii="Calibri" w:eastAsia="Calibri" w:hAnsi="Calibri" w:cs="Calibri"/>
        </w:rPr>
        <w:t>clinem</w:t>
      </w:r>
      <w:proofErr w:type="spellEnd"/>
      <w:r>
        <w:rPr>
          <w:rFonts w:ascii="Calibri" w:eastAsia="Calibri" w:hAnsi="Calibri" w:cs="Calibri"/>
        </w:rPr>
        <w:t>/dgaa626</w:t>
      </w:r>
    </w:p>
    <w:p w14:paraId="1733FBF5" w14:textId="77777777" w:rsidR="0012549D" w:rsidRDefault="00000000">
      <w:pPr>
        <w:tabs>
          <w:tab w:val="left" w:pos="380"/>
        </w:tabs>
        <w:spacing w:before="240" w:after="240" w:line="480" w:lineRule="auto"/>
        <w:ind w:left="645"/>
        <w:rPr>
          <w:rFonts w:ascii="Calibri" w:eastAsia="Calibri" w:hAnsi="Calibri" w:cs="Calibri"/>
        </w:rPr>
      </w:pPr>
      <w:r>
        <w:rPr>
          <w:rFonts w:ascii="Calibri" w:eastAsia="Calibri" w:hAnsi="Calibri" w:cs="Calibri"/>
        </w:rPr>
        <w:t>20.</w:t>
      </w:r>
      <w:r>
        <w:rPr>
          <w:rFonts w:ascii="Calibri" w:eastAsia="Calibri" w:hAnsi="Calibri" w:cs="Calibri"/>
        </w:rPr>
        <w:tab/>
      </w:r>
      <w:proofErr w:type="spellStart"/>
      <w:r>
        <w:rPr>
          <w:rFonts w:ascii="Calibri" w:eastAsia="Calibri" w:hAnsi="Calibri" w:cs="Calibri"/>
          <w:highlight w:val="white"/>
        </w:rPr>
        <w:t>Nordenström</w:t>
      </w:r>
      <w:proofErr w:type="spellEnd"/>
      <w:r>
        <w:rPr>
          <w:rFonts w:ascii="Calibri" w:eastAsia="Calibri" w:hAnsi="Calibri" w:cs="Calibri"/>
          <w:highlight w:val="white"/>
        </w:rPr>
        <w:t xml:space="preserve"> A, </w:t>
      </w:r>
      <w:proofErr w:type="spellStart"/>
      <w:r>
        <w:rPr>
          <w:rFonts w:ascii="Calibri" w:eastAsia="Calibri" w:hAnsi="Calibri" w:cs="Calibri"/>
          <w:highlight w:val="white"/>
        </w:rPr>
        <w:t>Falhammar</w:t>
      </w:r>
      <w:proofErr w:type="spellEnd"/>
      <w:r>
        <w:rPr>
          <w:rFonts w:ascii="Calibri" w:eastAsia="Calibri" w:hAnsi="Calibri" w:cs="Calibri"/>
          <w:highlight w:val="white"/>
        </w:rPr>
        <w:t xml:space="preserve"> H, </w:t>
      </w:r>
      <w:proofErr w:type="spellStart"/>
      <w:r>
        <w:rPr>
          <w:rFonts w:ascii="Calibri" w:eastAsia="Calibri" w:hAnsi="Calibri" w:cs="Calibri"/>
          <w:highlight w:val="white"/>
        </w:rPr>
        <w:t>Lajic</w:t>
      </w:r>
      <w:proofErr w:type="spellEnd"/>
      <w:r>
        <w:rPr>
          <w:rFonts w:ascii="Calibri" w:eastAsia="Calibri" w:hAnsi="Calibri" w:cs="Calibri"/>
          <w:highlight w:val="white"/>
        </w:rPr>
        <w:t xml:space="preserve"> S. Current and Novel Treatment Strategies in Children with Congenital Adrenal Hyperplasia [published correction appears in Horm Res </w:t>
      </w:r>
      <w:proofErr w:type="spellStart"/>
      <w:r>
        <w:rPr>
          <w:rFonts w:ascii="Calibri" w:eastAsia="Calibri" w:hAnsi="Calibri" w:cs="Calibri"/>
          <w:highlight w:val="white"/>
        </w:rPr>
        <w:t>Paediatr</w:t>
      </w:r>
      <w:proofErr w:type="spellEnd"/>
      <w:r>
        <w:rPr>
          <w:rFonts w:ascii="Calibri" w:eastAsia="Calibri" w:hAnsi="Calibri" w:cs="Calibri"/>
          <w:highlight w:val="white"/>
        </w:rPr>
        <w:t xml:space="preserve">. 2022 Mar 28:1. </w:t>
      </w:r>
      <w:proofErr w:type="spellStart"/>
      <w:r>
        <w:rPr>
          <w:rFonts w:ascii="Calibri" w:eastAsia="Calibri" w:hAnsi="Calibri" w:cs="Calibri"/>
          <w:highlight w:val="white"/>
        </w:rPr>
        <w:t>doi</w:t>
      </w:r>
      <w:proofErr w:type="spellEnd"/>
      <w:r>
        <w:rPr>
          <w:rFonts w:ascii="Calibri" w:eastAsia="Calibri" w:hAnsi="Calibri" w:cs="Calibri"/>
          <w:highlight w:val="white"/>
        </w:rPr>
        <w:t xml:space="preserve">: 10.1159/000524035.]. </w:t>
      </w:r>
      <w:r>
        <w:rPr>
          <w:rFonts w:ascii="Calibri" w:eastAsia="Calibri" w:hAnsi="Calibri" w:cs="Calibri"/>
          <w:i/>
          <w:highlight w:val="white"/>
        </w:rPr>
        <w:t xml:space="preserve">Horm Res </w:t>
      </w:r>
      <w:proofErr w:type="spellStart"/>
      <w:r>
        <w:rPr>
          <w:rFonts w:ascii="Calibri" w:eastAsia="Calibri" w:hAnsi="Calibri" w:cs="Calibri"/>
          <w:i/>
          <w:highlight w:val="white"/>
        </w:rPr>
        <w:t>Paediatr</w:t>
      </w:r>
      <w:proofErr w:type="spellEnd"/>
      <w:r>
        <w:rPr>
          <w:rFonts w:ascii="Calibri" w:eastAsia="Calibri" w:hAnsi="Calibri" w:cs="Calibri"/>
          <w:highlight w:val="white"/>
        </w:rPr>
        <w:t>. 2023;96(6):560-572. doi:10.1159/000522260</w:t>
      </w:r>
    </w:p>
    <w:p w14:paraId="4055A026"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21.</w:t>
      </w:r>
      <w:r>
        <w:rPr>
          <w:rFonts w:ascii="Calibri" w:eastAsia="Calibri" w:hAnsi="Calibri" w:cs="Calibri"/>
        </w:rPr>
        <w:tab/>
        <w:t xml:space="preserve">World Bank. World Bank income groups. Our World in Data. </w:t>
      </w:r>
      <w:hyperlink r:id="rId21">
        <w:r w:rsidR="0012549D">
          <w:rPr>
            <w:rFonts w:ascii="Calibri" w:eastAsia="Calibri" w:hAnsi="Calibri" w:cs="Calibri"/>
          </w:rPr>
          <w:t>https://ourworldindata.org/grapher/world-bank-income-groups</w:t>
        </w:r>
      </w:hyperlink>
      <w:r>
        <w:rPr>
          <w:rFonts w:ascii="Calibri" w:eastAsia="Calibri" w:hAnsi="Calibri" w:cs="Calibri"/>
        </w:rPr>
        <w:t>. Accessed March 4, 2025.</w:t>
      </w:r>
    </w:p>
    <w:p w14:paraId="2FEDA9D9"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lastRenderedPageBreak/>
        <w:t>22.</w:t>
      </w:r>
      <w:r>
        <w:rPr>
          <w:rFonts w:ascii="Calibri" w:eastAsia="Calibri" w:hAnsi="Calibri" w:cs="Calibri"/>
        </w:rPr>
        <w:tab/>
        <w:t xml:space="preserve">Watson C, Webb E, Kerr S, et al. How close is the dose? Manipulation of 10 mg hydrocortisone tablets to provide appropriate doses to children. </w:t>
      </w:r>
      <w:r>
        <w:rPr>
          <w:rFonts w:ascii="Calibri" w:eastAsia="Calibri" w:hAnsi="Calibri" w:cs="Calibri"/>
          <w:i/>
        </w:rPr>
        <w:t>Int J Pharm</w:t>
      </w:r>
      <w:r>
        <w:rPr>
          <w:rFonts w:ascii="Calibri" w:eastAsia="Calibri" w:hAnsi="Calibri" w:cs="Calibri"/>
        </w:rPr>
        <w:t xml:space="preserve">. 2018;545(1-2):57-63. </w:t>
      </w:r>
      <w:proofErr w:type="gramStart"/>
      <w:r>
        <w:rPr>
          <w:rFonts w:ascii="Calibri" w:eastAsia="Calibri" w:hAnsi="Calibri" w:cs="Calibri"/>
        </w:rPr>
        <w:t>doi:10.1016/j.ijpharm</w:t>
      </w:r>
      <w:proofErr w:type="gramEnd"/>
      <w:r>
        <w:rPr>
          <w:rFonts w:ascii="Calibri" w:eastAsia="Calibri" w:hAnsi="Calibri" w:cs="Calibri"/>
        </w:rPr>
        <w:t>.2018.04.054</w:t>
      </w:r>
    </w:p>
    <w:p w14:paraId="4B99ADB7"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23.</w:t>
      </w:r>
      <w:r>
        <w:rPr>
          <w:rFonts w:ascii="Calibri" w:eastAsia="Calibri" w:hAnsi="Calibri" w:cs="Calibri"/>
        </w:rPr>
        <w:tab/>
        <w:t xml:space="preserve">European Medicines Agency. </w:t>
      </w:r>
      <w:proofErr w:type="spellStart"/>
      <w:r>
        <w:rPr>
          <w:rFonts w:ascii="Calibri" w:eastAsia="Calibri" w:hAnsi="Calibri" w:cs="Calibri"/>
        </w:rPr>
        <w:t>Efmody</w:t>
      </w:r>
      <w:proofErr w:type="spellEnd"/>
      <w:r>
        <w:rPr>
          <w:rFonts w:ascii="Calibri" w:eastAsia="Calibri" w:hAnsi="Calibri" w:cs="Calibri"/>
        </w:rPr>
        <w:t>. European Public Assessment Report.</w:t>
      </w:r>
      <w:hyperlink r:id="rId22">
        <w:r w:rsidR="0012549D">
          <w:rPr>
            <w:rFonts w:ascii="Calibri" w:eastAsia="Calibri" w:hAnsi="Calibri" w:cs="Calibri"/>
          </w:rPr>
          <w:t xml:space="preserve"> </w:t>
        </w:r>
      </w:hyperlink>
      <w:hyperlink r:id="rId23">
        <w:r w:rsidR="0012549D">
          <w:rPr>
            <w:rFonts w:ascii="Calibri" w:eastAsia="Calibri" w:hAnsi="Calibri" w:cs="Calibri"/>
            <w:color w:val="1155CC"/>
            <w:u w:val="single"/>
          </w:rPr>
          <w:t>https://www.ema.europa.eu/en/medicines/human/EPAR/efmody</w:t>
        </w:r>
      </w:hyperlink>
      <w:r>
        <w:rPr>
          <w:rFonts w:ascii="Calibri" w:eastAsia="Calibri" w:hAnsi="Calibri" w:cs="Calibri"/>
        </w:rPr>
        <w:t>. Published March 26, 2021. Updated June 5, 2025. Accessed June 20, 2025.</w:t>
      </w:r>
    </w:p>
    <w:p w14:paraId="61AA350C"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24.</w:t>
      </w:r>
      <w:r>
        <w:rPr>
          <w:rFonts w:ascii="Calibri" w:eastAsia="Calibri" w:hAnsi="Calibri" w:cs="Calibri"/>
        </w:rPr>
        <w:tab/>
      </w:r>
      <w:proofErr w:type="spellStart"/>
      <w:r>
        <w:rPr>
          <w:rFonts w:ascii="Calibri" w:eastAsia="Calibri" w:hAnsi="Calibri" w:cs="Calibri"/>
        </w:rPr>
        <w:t>Bacila</w:t>
      </w:r>
      <w:proofErr w:type="spellEnd"/>
      <w:r>
        <w:rPr>
          <w:rFonts w:ascii="Calibri" w:eastAsia="Calibri" w:hAnsi="Calibri" w:cs="Calibri"/>
        </w:rPr>
        <w:t xml:space="preserve"> I, Blankenstein O, Neumann U, et al. Exploring trends in the glucocorticoid and mineralocorticoid treatment of congenital adrenal hyperplasia by analysing data from the I-CAH registry. </w:t>
      </w:r>
      <w:r>
        <w:rPr>
          <w:rFonts w:ascii="Calibri" w:eastAsia="Calibri" w:hAnsi="Calibri" w:cs="Calibri"/>
          <w:i/>
        </w:rPr>
        <w:t>Endocrine Abstracts</w:t>
      </w:r>
      <w:r>
        <w:rPr>
          <w:rFonts w:ascii="Calibri" w:eastAsia="Calibri" w:hAnsi="Calibri" w:cs="Calibri"/>
        </w:rPr>
        <w:t xml:space="preserve">. Published online November 11, 2019. </w:t>
      </w:r>
      <w:proofErr w:type="gramStart"/>
      <w:r>
        <w:rPr>
          <w:rFonts w:ascii="Calibri" w:eastAsia="Calibri" w:hAnsi="Calibri" w:cs="Calibri"/>
        </w:rPr>
        <w:t>doi:10.1530/endoabs.66.OC1</w:t>
      </w:r>
      <w:proofErr w:type="gramEnd"/>
      <w:r>
        <w:rPr>
          <w:rFonts w:ascii="Calibri" w:eastAsia="Calibri" w:hAnsi="Calibri" w:cs="Calibri"/>
        </w:rPr>
        <w:t>.1</w:t>
      </w:r>
    </w:p>
    <w:p w14:paraId="59C1F8F5"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25.</w:t>
      </w:r>
      <w:r>
        <w:rPr>
          <w:rFonts w:ascii="Calibri" w:eastAsia="Calibri" w:hAnsi="Calibri" w:cs="Calibri"/>
        </w:rPr>
        <w:tab/>
        <w:t xml:space="preserve">Han TS, Conway GS, Willis DS, et al. Relationship Between Final Height and Health Outcomes in Adults </w:t>
      </w:r>
      <w:proofErr w:type="gramStart"/>
      <w:r>
        <w:rPr>
          <w:rFonts w:ascii="Calibri" w:eastAsia="Calibri" w:hAnsi="Calibri" w:cs="Calibri"/>
        </w:rPr>
        <w:t>With</w:t>
      </w:r>
      <w:proofErr w:type="gramEnd"/>
      <w:r>
        <w:rPr>
          <w:rFonts w:ascii="Calibri" w:eastAsia="Calibri" w:hAnsi="Calibri" w:cs="Calibri"/>
        </w:rPr>
        <w:t xml:space="preserve"> Congenital Adrenal Hyperplasia: United Kingdom Congenital Adrenal Hyperplasia Adult Study Executive (</w:t>
      </w:r>
      <w:proofErr w:type="spellStart"/>
      <w:r>
        <w:rPr>
          <w:rFonts w:ascii="Calibri" w:eastAsia="Calibri" w:hAnsi="Calibri" w:cs="Calibri"/>
        </w:rPr>
        <w:t>CaHASE</w:t>
      </w:r>
      <w:proofErr w:type="spellEnd"/>
      <w:r>
        <w:rPr>
          <w:rFonts w:ascii="Calibri" w:eastAsia="Calibri" w:hAnsi="Calibri" w:cs="Calibri"/>
        </w:rPr>
        <w:t xml:space="preserve">). </w:t>
      </w:r>
      <w:r>
        <w:rPr>
          <w:rFonts w:ascii="Calibri" w:eastAsia="Calibri" w:hAnsi="Calibri" w:cs="Calibri"/>
          <w:i/>
        </w:rPr>
        <w:t xml:space="preserve">J Clin Endocrinol </w:t>
      </w:r>
      <w:proofErr w:type="spellStart"/>
      <w:r>
        <w:rPr>
          <w:rFonts w:ascii="Calibri" w:eastAsia="Calibri" w:hAnsi="Calibri" w:cs="Calibri"/>
          <w:i/>
        </w:rPr>
        <w:t>Metab</w:t>
      </w:r>
      <w:proofErr w:type="spellEnd"/>
      <w:r>
        <w:rPr>
          <w:rFonts w:ascii="Calibri" w:eastAsia="Calibri" w:hAnsi="Calibri" w:cs="Calibri"/>
        </w:rPr>
        <w:t>. 2014;99(8</w:t>
      </w:r>
      <w:proofErr w:type="gramStart"/>
      <w:r>
        <w:rPr>
          <w:rFonts w:ascii="Calibri" w:eastAsia="Calibri" w:hAnsi="Calibri" w:cs="Calibri"/>
        </w:rPr>
        <w:t>):E</w:t>
      </w:r>
      <w:proofErr w:type="gramEnd"/>
      <w:r>
        <w:rPr>
          <w:rFonts w:ascii="Calibri" w:eastAsia="Calibri" w:hAnsi="Calibri" w:cs="Calibri"/>
        </w:rPr>
        <w:t>1547-E1555. doi:10.1210/jc.2014-1486</w:t>
      </w:r>
    </w:p>
    <w:p w14:paraId="0178A28E"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26.</w:t>
      </w:r>
      <w:r>
        <w:rPr>
          <w:rFonts w:ascii="Calibri" w:eastAsia="Calibri" w:hAnsi="Calibri" w:cs="Calibri"/>
        </w:rPr>
        <w:tab/>
        <w:t xml:space="preserve">Diurnal. Regulatory updates and market availability of </w:t>
      </w:r>
      <w:proofErr w:type="spellStart"/>
      <w:r>
        <w:rPr>
          <w:rFonts w:ascii="Calibri" w:eastAsia="Calibri" w:hAnsi="Calibri" w:cs="Calibri"/>
        </w:rPr>
        <w:t>Acecort</w:t>
      </w:r>
      <w:proofErr w:type="spellEnd"/>
      <w:r>
        <w:rPr>
          <w:rFonts w:ascii="Calibri" w:eastAsia="Calibri" w:hAnsi="Calibri" w:cs="Calibri"/>
        </w:rPr>
        <w:t xml:space="preserve">® and other modern glucocorticoids. Diurnal. Published 2021. Accessed May 13, </w:t>
      </w:r>
      <w:proofErr w:type="gramStart"/>
      <w:r>
        <w:rPr>
          <w:rFonts w:ascii="Calibri" w:eastAsia="Calibri" w:hAnsi="Calibri" w:cs="Calibri"/>
        </w:rPr>
        <w:t>2025</w:t>
      </w:r>
      <w:proofErr w:type="gramEnd"/>
      <w:r>
        <w:rPr>
          <w:rFonts w:ascii="Calibri" w:eastAsia="Calibri" w:hAnsi="Calibri" w:cs="Calibri"/>
        </w:rPr>
        <w:t xml:space="preserve"> at:</w:t>
      </w:r>
      <w:hyperlink r:id="rId24">
        <w:r w:rsidR="0012549D">
          <w:rPr>
            <w:rFonts w:ascii="Calibri" w:eastAsia="Calibri" w:hAnsi="Calibri" w:cs="Calibri"/>
          </w:rPr>
          <w:t xml:space="preserve"> </w:t>
        </w:r>
      </w:hyperlink>
      <w:hyperlink r:id="rId25">
        <w:r w:rsidR="0012549D">
          <w:rPr>
            <w:rFonts w:ascii="Calibri" w:eastAsia="Calibri" w:hAnsi="Calibri" w:cs="Calibri"/>
            <w:color w:val="1155CC"/>
            <w:u w:val="single"/>
          </w:rPr>
          <w:t>www.diurnal.com</w:t>
        </w:r>
      </w:hyperlink>
      <w:r>
        <w:rPr>
          <w:rFonts w:ascii="Calibri" w:eastAsia="Calibri" w:hAnsi="Calibri" w:cs="Calibri"/>
        </w:rPr>
        <w:t>.</w:t>
      </w:r>
    </w:p>
    <w:p w14:paraId="0C00C302" w14:textId="77777777" w:rsidR="0012549D" w:rsidRDefault="00000000">
      <w:pPr>
        <w:tabs>
          <w:tab w:val="left" w:pos="380"/>
        </w:tabs>
        <w:spacing w:before="240" w:after="240" w:line="480" w:lineRule="auto"/>
        <w:ind w:left="640"/>
        <w:rPr>
          <w:rFonts w:ascii="Calibri" w:eastAsia="Calibri" w:hAnsi="Calibri" w:cs="Calibri"/>
        </w:rPr>
      </w:pPr>
      <w:r>
        <w:rPr>
          <w:rFonts w:ascii="Calibri" w:eastAsia="Calibri" w:hAnsi="Calibri" w:cs="Calibri"/>
        </w:rPr>
        <w:t>27.</w:t>
      </w:r>
      <w:r>
        <w:rPr>
          <w:rFonts w:ascii="Calibri" w:eastAsia="Calibri" w:hAnsi="Calibri" w:cs="Calibri"/>
        </w:rPr>
        <w:tab/>
        <w:t xml:space="preserve">Lundgren A. Barriers to the implementation of modern therapies in rare endocrine disorders. </w:t>
      </w:r>
      <w:r>
        <w:rPr>
          <w:rFonts w:ascii="Calibri" w:eastAsia="Calibri" w:hAnsi="Calibri" w:cs="Calibri"/>
          <w:i/>
        </w:rPr>
        <w:t xml:space="preserve">J Endocrinol </w:t>
      </w:r>
      <w:proofErr w:type="spellStart"/>
      <w:r>
        <w:rPr>
          <w:rFonts w:ascii="Calibri" w:eastAsia="Calibri" w:hAnsi="Calibri" w:cs="Calibri"/>
          <w:i/>
        </w:rPr>
        <w:t>Metab</w:t>
      </w:r>
      <w:proofErr w:type="spellEnd"/>
      <w:r>
        <w:rPr>
          <w:rFonts w:ascii="Calibri" w:eastAsia="Calibri" w:hAnsi="Calibri" w:cs="Calibri"/>
        </w:rPr>
        <w:t>. 2020;25(2):97-104. doi:10.1530/JEM-20-0037</w:t>
      </w:r>
    </w:p>
    <w:p w14:paraId="1445D7A8" w14:textId="77777777" w:rsidR="0012549D" w:rsidRDefault="00000000">
      <w:pPr>
        <w:tabs>
          <w:tab w:val="left" w:pos="380"/>
        </w:tabs>
        <w:spacing w:before="240" w:after="240" w:line="480" w:lineRule="auto"/>
        <w:ind w:left="640"/>
        <w:rPr>
          <w:rFonts w:ascii="Calibri" w:eastAsia="Calibri" w:hAnsi="Calibri" w:cs="Calibri"/>
          <w:b/>
        </w:rPr>
      </w:pPr>
      <w:r>
        <w:rPr>
          <w:rFonts w:ascii="Calibri" w:eastAsia="Calibri" w:hAnsi="Calibri" w:cs="Calibri"/>
        </w:rPr>
        <w:t>28.</w:t>
      </w:r>
      <w:r>
        <w:rPr>
          <w:rFonts w:ascii="Calibri" w:eastAsia="Calibri" w:hAnsi="Calibri" w:cs="Calibri"/>
        </w:rPr>
        <w:tab/>
        <w:t xml:space="preserve">Zhao J, et al. Economic evaluations of rare disease therapies: Impact on drug access and reimbursement. </w:t>
      </w:r>
      <w:r>
        <w:rPr>
          <w:rFonts w:ascii="Calibri" w:eastAsia="Calibri" w:hAnsi="Calibri" w:cs="Calibri"/>
          <w:i/>
        </w:rPr>
        <w:t>Pharm Policy Law</w:t>
      </w:r>
      <w:r>
        <w:rPr>
          <w:rFonts w:ascii="Calibri" w:eastAsia="Calibri" w:hAnsi="Calibri" w:cs="Calibri"/>
        </w:rPr>
        <w:t>. 2020;22(1):39-50. doi:10.3233/PPL-190313</w:t>
      </w:r>
    </w:p>
    <w:sectPr w:rsidR="0012549D" w:rsidSect="0096734B">
      <w:headerReference w:type="default" r:id="rId26"/>
      <w:footerReference w:type="even" r:id="rId27"/>
      <w:footerReference w:type="default" r:id="rId28"/>
      <w:pgSz w:w="11906" w:h="16838"/>
      <w:pgMar w:top="1440" w:right="1440" w:bottom="1440" w:left="1440" w:header="708" w:footer="708"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113A" w14:textId="77777777" w:rsidR="00072CEE" w:rsidRDefault="00072CEE">
      <w:pPr>
        <w:spacing w:line="240" w:lineRule="auto"/>
      </w:pPr>
      <w:r>
        <w:separator/>
      </w:r>
    </w:p>
  </w:endnote>
  <w:endnote w:type="continuationSeparator" w:id="0">
    <w:p w14:paraId="396E80D5" w14:textId="77777777" w:rsidR="00072CEE" w:rsidRDefault="00072C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04116397"/>
      <w:docPartObj>
        <w:docPartGallery w:val="Page Numbers (Bottom of Page)"/>
        <w:docPartUnique/>
      </w:docPartObj>
    </w:sdtPr>
    <w:sdtContent>
      <w:p w14:paraId="37DC3814" w14:textId="01D8BB0A" w:rsidR="00653600" w:rsidRDefault="00653600" w:rsidP="00903E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2606B5" w14:textId="77777777" w:rsidR="00653600" w:rsidRDefault="00653600" w:rsidP="006536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63972861"/>
      <w:docPartObj>
        <w:docPartGallery w:val="Page Numbers (Bottom of Page)"/>
        <w:docPartUnique/>
      </w:docPartObj>
    </w:sdtPr>
    <w:sdtContent>
      <w:p w14:paraId="4E0500D9" w14:textId="3C145EF3" w:rsidR="00653600" w:rsidRDefault="00653600" w:rsidP="00903E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9C8772" w14:textId="77777777" w:rsidR="00653600" w:rsidRDefault="00653600" w:rsidP="0065360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D1145" w14:textId="77777777" w:rsidR="00072CEE" w:rsidRDefault="00072CEE">
      <w:pPr>
        <w:spacing w:line="240" w:lineRule="auto"/>
      </w:pPr>
      <w:r>
        <w:separator/>
      </w:r>
    </w:p>
  </w:footnote>
  <w:footnote w:type="continuationSeparator" w:id="0">
    <w:p w14:paraId="5D1ACBDE" w14:textId="77777777" w:rsidR="00072CEE" w:rsidRDefault="00072C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A93B" w14:textId="77777777" w:rsidR="0012549D" w:rsidRDefault="001254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3494B"/>
    <w:multiLevelType w:val="multilevel"/>
    <w:tmpl w:val="FFEE1C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98579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9D"/>
    <w:rsid w:val="0006150C"/>
    <w:rsid w:val="00071E1E"/>
    <w:rsid w:val="00072CEE"/>
    <w:rsid w:val="00073CF9"/>
    <w:rsid w:val="00086A16"/>
    <w:rsid w:val="00106887"/>
    <w:rsid w:val="0012549D"/>
    <w:rsid w:val="001724C3"/>
    <w:rsid w:val="00205EA2"/>
    <w:rsid w:val="00215C13"/>
    <w:rsid w:val="002744D2"/>
    <w:rsid w:val="00280BFE"/>
    <w:rsid w:val="00291E72"/>
    <w:rsid w:val="002D09AB"/>
    <w:rsid w:val="002E6335"/>
    <w:rsid w:val="003072BD"/>
    <w:rsid w:val="003132A8"/>
    <w:rsid w:val="003E6219"/>
    <w:rsid w:val="004011AE"/>
    <w:rsid w:val="004E0E2D"/>
    <w:rsid w:val="00546FF0"/>
    <w:rsid w:val="00571542"/>
    <w:rsid w:val="005B3BAE"/>
    <w:rsid w:val="00653600"/>
    <w:rsid w:val="006A5332"/>
    <w:rsid w:val="00754944"/>
    <w:rsid w:val="00754B2A"/>
    <w:rsid w:val="0075753D"/>
    <w:rsid w:val="007E7F04"/>
    <w:rsid w:val="008914DB"/>
    <w:rsid w:val="008A4257"/>
    <w:rsid w:val="0092601B"/>
    <w:rsid w:val="00927826"/>
    <w:rsid w:val="0096734B"/>
    <w:rsid w:val="00967E88"/>
    <w:rsid w:val="009D199F"/>
    <w:rsid w:val="009E53A0"/>
    <w:rsid w:val="00A1016C"/>
    <w:rsid w:val="00A407CB"/>
    <w:rsid w:val="00AA06DA"/>
    <w:rsid w:val="00B72282"/>
    <w:rsid w:val="00C27353"/>
    <w:rsid w:val="00C44B1A"/>
    <w:rsid w:val="00C47C3B"/>
    <w:rsid w:val="00C8342A"/>
    <w:rsid w:val="00CD2316"/>
    <w:rsid w:val="00D361C1"/>
    <w:rsid w:val="00D4403F"/>
    <w:rsid w:val="00D50A91"/>
    <w:rsid w:val="00E100C0"/>
    <w:rsid w:val="00E80E88"/>
    <w:rsid w:val="00E8159C"/>
    <w:rsid w:val="00E906A9"/>
    <w:rsid w:val="00E972DB"/>
    <w:rsid w:val="00F04F1B"/>
    <w:rsid w:val="00F05212"/>
    <w:rsid w:val="00F44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F630B"/>
  <w15:docId w15:val="{A0867404-6A3C-5B47-A436-2DD23184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character" w:styleId="Hyperlink">
    <w:name w:val="Hyperlink"/>
    <w:basedOn w:val="DefaultParagraphFont"/>
    <w:uiPriority w:val="99"/>
    <w:unhideWhenUsed/>
    <w:rsid w:val="007E45B9"/>
    <w:rPr>
      <w:color w:val="0563C1" w:themeColor="hyperlink"/>
      <w:u w:val="single"/>
    </w:rPr>
  </w:style>
  <w:style w:type="character" w:styleId="FollowedHyperlink">
    <w:name w:val="FollowedHyperlink"/>
    <w:basedOn w:val="DefaultParagraphFont"/>
    <w:uiPriority w:val="99"/>
    <w:semiHidden/>
    <w:unhideWhenUsed/>
    <w:rsid w:val="00104F49"/>
    <w:rPr>
      <w:color w:val="954F72" w:themeColor="followedHyperlink"/>
      <w:u w:val="single"/>
    </w:rPr>
  </w:style>
  <w:style w:type="paragraph" w:styleId="Bibliography">
    <w:name w:val="Bibliography"/>
    <w:basedOn w:val="Normal"/>
    <w:next w:val="Normal"/>
    <w:uiPriority w:val="37"/>
    <w:unhideWhenUsed/>
    <w:rsid w:val="00D55090"/>
    <w:pPr>
      <w:tabs>
        <w:tab w:val="left" w:pos="380"/>
      </w:tabs>
      <w:spacing w:after="240" w:line="240" w:lineRule="auto"/>
      <w:ind w:left="384" w:hanging="384"/>
    </w:pPr>
  </w:style>
  <w:style w:type="paragraph" w:styleId="BalloonText">
    <w:name w:val="Balloon Text"/>
    <w:basedOn w:val="Normal"/>
    <w:link w:val="BalloonTextChar"/>
    <w:uiPriority w:val="99"/>
    <w:semiHidden/>
    <w:unhideWhenUsed/>
    <w:rsid w:val="00487BB1"/>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87BB1"/>
    <w:rPr>
      <w:rFonts w:ascii="Times New Roman" w:eastAsia="Arial" w:hAnsi="Times New Roman" w:cs="Times New Roman"/>
      <w:sz w:val="18"/>
      <w:szCs w:val="18"/>
      <w:lang w:eastAsia="en-GB"/>
    </w:rPr>
  </w:style>
  <w:style w:type="character" w:styleId="CommentReference">
    <w:name w:val="annotation reference"/>
    <w:basedOn w:val="DefaultParagraphFont"/>
    <w:uiPriority w:val="99"/>
    <w:semiHidden/>
    <w:unhideWhenUsed/>
    <w:rsid w:val="00487BB1"/>
    <w:rPr>
      <w:sz w:val="16"/>
      <w:szCs w:val="16"/>
    </w:rPr>
  </w:style>
  <w:style w:type="paragraph" w:styleId="CommentText">
    <w:name w:val="annotation text"/>
    <w:basedOn w:val="Normal"/>
    <w:link w:val="CommentTextChar"/>
    <w:uiPriority w:val="99"/>
    <w:unhideWhenUsed/>
    <w:rsid w:val="00487BB1"/>
    <w:pPr>
      <w:spacing w:line="240" w:lineRule="auto"/>
    </w:pPr>
    <w:rPr>
      <w:sz w:val="20"/>
      <w:szCs w:val="20"/>
    </w:rPr>
  </w:style>
  <w:style w:type="character" w:customStyle="1" w:styleId="CommentTextChar">
    <w:name w:val="Comment Text Char"/>
    <w:basedOn w:val="DefaultParagraphFont"/>
    <w:link w:val="CommentText"/>
    <w:uiPriority w:val="99"/>
    <w:rsid w:val="00487BB1"/>
    <w:rPr>
      <w:rFonts w:ascii="Arial" w:eastAsia="Arial"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487BB1"/>
    <w:rPr>
      <w:b/>
      <w:bCs/>
    </w:rPr>
  </w:style>
  <w:style w:type="character" w:customStyle="1" w:styleId="CommentSubjectChar">
    <w:name w:val="Comment Subject Char"/>
    <w:basedOn w:val="CommentTextChar"/>
    <w:link w:val="CommentSubject"/>
    <w:uiPriority w:val="99"/>
    <w:semiHidden/>
    <w:rsid w:val="00487BB1"/>
    <w:rPr>
      <w:rFonts w:ascii="Arial" w:eastAsia="Arial" w:hAnsi="Arial" w:cs="Arial"/>
      <w:b/>
      <w:bCs/>
      <w:sz w:val="20"/>
      <w:szCs w:val="20"/>
      <w:lang w:eastAsia="en-GB"/>
    </w:rPr>
  </w:style>
  <w:style w:type="paragraph" w:styleId="Revision">
    <w:name w:val="Revision"/>
    <w:hidden/>
    <w:uiPriority w:val="99"/>
    <w:semiHidden/>
    <w:rsid w:val="00487BB1"/>
  </w:style>
  <w:style w:type="paragraph" w:styleId="NormalWeb">
    <w:name w:val="Normal (Web)"/>
    <w:basedOn w:val="Normal"/>
    <w:uiPriority w:val="99"/>
    <w:semiHidden/>
    <w:unhideWhenUsed/>
    <w:rsid w:val="0046716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1F299E"/>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653600"/>
    <w:pPr>
      <w:tabs>
        <w:tab w:val="center" w:pos="4513"/>
        <w:tab w:val="right" w:pos="9026"/>
      </w:tabs>
      <w:spacing w:line="240" w:lineRule="auto"/>
    </w:pPr>
  </w:style>
  <w:style w:type="character" w:customStyle="1" w:styleId="FooterChar">
    <w:name w:val="Footer Char"/>
    <w:basedOn w:val="DefaultParagraphFont"/>
    <w:link w:val="Footer"/>
    <w:uiPriority w:val="99"/>
    <w:rsid w:val="00653600"/>
  </w:style>
  <w:style w:type="character" w:styleId="PageNumber">
    <w:name w:val="page number"/>
    <w:basedOn w:val="DefaultParagraphFont"/>
    <w:uiPriority w:val="99"/>
    <w:semiHidden/>
    <w:unhideWhenUsed/>
    <w:rsid w:val="00653600"/>
  </w:style>
  <w:style w:type="character" w:styleId="UnresolvedMention">
    <w:name w:val="Unresolved Mention"/>
    <w:basedOn w:val="DefaultParagraphFont"/>
    <w:uiPriority w:val="99"/>
    <w:semiHidden/>
    <w:unhideWhenUsed/>
    <w:rsid w:val="00D3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ourworldindata.org/grapher/world-bank-income-groups" TargetMode="Externa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hyperlink" Target="http://www.diurnal.com" TargetMode="Externa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yperlink" Target="https://www.ace-pharm.nl/en/products/acecor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urworldindata.org/grapher/gdp-per-capita-worldbank?tab=table&amp;overlay=download-data" TargetMode="External"/><Relationship Id="rId24" Type="http://schemas.openxmlformats.org/officeDocument/2006/relationships/hyperlink" Target="https://www.diurnal.com"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www.ema.europa.eu/en/medicines/human/EPAR/efmody" TargetMode="External"/><Relationship Id="rId28" Type="http://schemas.openxmlformats.org/officeDocument/2006/relationships/footer" Target="footer2.xml"/><Relationship Id="rId10" Type="http://schemas.openxmlformats.org/officeDocument/2006/relationships/hyperlink" Target="https://gbr01.safelinks.protection.outlook.com/?url=https%3A%2F%2Fidsdorg.files.wordpress.com%2F2021%2F11%2Fi-dsd-i-cah-i-ts-data-sharing-agreement-v4.0-241121.docx&amp;data=05%7C02%7Cmichael.casipe%40nhs.net%7Cf5840b4aaf21496108d008dd46f7bf95%7C37c354b285b047f5b22207b48d774ee3%7C0%7C0%7C638744752115525219%7CUnknown%7CTWFpbGZsb3d8eyJFbXB0eU1hcGkiOnRydWUsIlYiOiIwLjAuMDAwMCIsIlAiOiJXaW4zMiIsIkFOIjoiTWFpbCIsIldUIjoyfQ%3D%3D%7C0%7C%7C%7C&amp;sdata=Kw8hNkRoa%2BsUNUOCLHfYY95fMw7Rqh%2BbOtaTmi2cWEo%3D&amp;reserved=0" TargetMode="External"/><Relationship Id="rId19" Type="http://schemas.openxmlformats.org/officeDocument/2006/relationships/hyperlink" Target="https://www.ace-pharm.nl/en/products/acecort/" TargetMode="External"/><Relationship Id="rId4" Type="http://schemas.openxmlformats.org/officeDocument/2006/relationships/styles" Target="styles.xml"/><Relationship Id="rId9" Type="http://schemas.openxmlformats.org/officeDocument/2006/relationships/hyperlink" Target="mailto:emma.webb@nnuh.nhs.uk" TargetMode="External"/><Relationship Id="rId14" Type="http://schemas.openxmlformats.org/officeDocument/2006/relationships/image" Target="media/image3.emf"/><Relationship Id="rId22" Type="http://schemas.openxmlformats.org/officeDocument/2006/relationships/hyperlink" Target="https://www.ema.europa.eu/en/medicines/human/EPAR/efmody"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jgNTeRHoUyv6p2CmN2MBuk+GYA==">CgMxLjAyDmgud3Nrczl4ZmZybTdvMg5oLmRweGh3Z3ZoYjhrbjIOaC52czgxNWVzNHRnb3Y4AHIhMW9QNTdrTzBlVU5nVEYxeHVhbnpjaVpEZnFPVEhWRmVV</go:docsCustomData>
</go:gDocsCustomXmlDataStorage>
</file>

<file path=customXml/itemProps1.xml><?xml version="1.0" encoding="utf-8"?>
<ds:datastoreItem xmlns:ds="http://schemas.openxmlformats.org/officeDocument/2006/customXml" ds:itemID="{5E9E5C66-7DE0-8646-9805-FC96751E43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6737</Words>
  <Characters>34766</Characters>
  <Application>Microsoft Office Word</Application>
  <DocSecurity>0</DocSecurity>
  <Lines>643</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Makarchuk</dc:creator>
  <cp:lastModifiedBy>Webb, Emma (NNUHFT)</cp:lastModifiedBy>
  <cp:revision>2</cp:revision>
  <dcterms:created xsi:type="dcterms:W3CDTF">2026-03-03T11:23:00Z</dcterms:created>
  <dcterms:modified xsi:type="dcterms:W3CDTF">2026-03-03T11:23:00Z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zotero-version="6.0.28"&gt;&lt;session id="5bG4uhAh"/&gt;&lt;style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